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CE" w:rsidRDefault="00902EC0" w:rsidP="00724F3E">
      <w:r>
        <w:t>OSNOVNA ŠKOLA</w:t>
      </w:r>
    </w:p>
    <w:p w:rsidR="00902EC0" w:rsidRDefault="00902EC0" w:rsidP="00724F3E">
      <w:r>
        <w:t>„VLADIMIR NAZOR“</w:t>
      </w:r>
    </w:p>
    <w:p w:rsidR="00902EC0" w:rsidRDefault="00902EC0" w:rsidP="00724F3E">
      <w:r>
        <w:t>TRENKOVO, Mlinska 3</w:t>
      </w:r>
    </w:p>
    <w:p w:rsidR="00703CB6" w:rsidRDefault="00703CB6" w:rsidP="00724F3E"/>
    <w:p w:rsidR="00CD4E70" w:rsidRDefault="007036ED" w:rsidP="00724F3E">
      <w:r w:rsidRPr="00A44E6E">
        <w:t xml:space="preserve">KLASA: </w:t>
      </w:r>
      <w:r w:rsidR="00327AE2">
        <w:t>6</w:t>
      </w:r>
      <w:r w:rsidRPr="00A44E6E">
        <w:t>02-0</w:t>
      </w:r>
      <w:r w:rsidR="00D81D9C">
        <w:t>2</w:t>
      </w:r>
      <w:r w:rsidRPr="00A44E6E">
        <w:t>/1</w:t>
      </w:r>
      <w:r w:rsidR="008740B2">
        <w:t>8</w:t>
      </w:r>
      <w:r w:rsidRPr="00A44E6E">
        <w:t>-01/</w:t>
      </w:r>
      <w:r w:rsidR="00DD1E00">
        <w:t>305</w:t>
      </w:r>
    </w:p>
    <w:p w:rsidR="007036ED" w:rsidRDefault="00A44E6E" w:rsidP="00724F3E">
      <w:r w:rsidRPr="00A44E6E">
        <w:t>URBROJ: 2177-</w:t>
      </w:r>
      <w:r w:rsidR="00327AE2">
        <w:t>28</w:t>
      </w:r>
      <w:r w:rsidRPr="00A44E6E">
        <w:t>-01-1</w:t>
      </w:r>
      <w:r w:rsidR="008740B2">
        <w:t>8</w:t>
      </w:r>
      <w:r w:rsidR="00BD69DE">
        <w:t>-</w:t>
      </w:r>
      <w:r w:rsidR="00114171">
        <w:t>1</w:t>
      </w:r>
    </w:p>
    <w:p w:rsidR="00703CB6" w:rsidRPr="00A44E6E" w:rsidRDefault="00703CB6" w:rsidP="00724F3E"/>
    <w:p w:rsidR="0045430B" w:rsidRDefault="00902EC0" w:rsidP="00724F3E">
      <w:proofErr w:type="spellStart"/>
      <w:r>
        <w:t>Trenkovo</w:t>
      </w:r>
      <w:proofErr w:type="spellEnd"/>
      <w:r>
        <w:t>,</w:t>
      </w:r>
      <w:r w:rsidR="008740B2">
        <w:t xml:space="preserve"> </w:t>
      </w:r>
      <w:r w:rsidR="00CD4E70">
        <w:t>1</w:t>
      </w:r>
      <w:r w:rsidR="008740B2">
        <w:t>0</w:t>
      </w:r>
      <w:r w:rsidR="00F343E1">
        <w:t>.10.</w:t>
      </w:r>
      <w:r w:rsidR="00DB00CD">
        <w:t>2018</w:t>
      </w:r>
      <w:r w:rsidR="00967C24">
        <w:t>.</w:t>
      </w:r>
    </w:p>
    <w:p w:rsidR="000304A3" w:rsidRDefault="000304A3" w:rsidP="00724F3E">
      <w:pPr>
        <w:ind w:left="2832" w:firstLine="2124"/>
      </w:pPr>
    </w:p>
    <w:p w:rsidR="000304A3" w:rsidRDefault="000304A3" w:rsidP="00724F3E">
      <w:pPr>
        <w:ind w:left="2832" w:firstLine="2124"/>
      </w:pPr>
    </w:p>
    <w:p w:rsidR="000304A3" w:rsidRDefault="000304A3" w:rsidP="00724F3E">
      <w:pPr>
        <w:ind w:left="2832" w:firstLine="2124"/>
      </w:pPr>
    </w:p>
    <w:p w:rsidR="00902EC0" w:rsidRDefault="00902EC0" w:rsidP="00724F3E">
      <w:pPr>
        <w:ind w:left="2832" w:firstLine="2124"/>
      </w:pPr>
      <w:r>
        <w:t>ŽUPANIJA POŽEŠKO-SLAVONSKA</w:t>
      </w:r>
    </w:p>
    <w:p w:rsidR="00820CDA" w:rsidRDefault="00820CDA" w:rsidP="00724F3E">
      <w:pPr>
        <w:ind w:left="708" w:firstLine="708"/>
      </w:pPr>
      <w:r>
        <w:tab/>
      </w:r>
      <w:r>
        <w:tab/>
        <w:t xml:space="preserve">   </w:t>
      </w:r>
      <w:r w:rsidR="00902EC0">
        <w:tab/>
      </w:r>
      <w:r w:rsidR="00902EC0">
        <w:tab/>
      </w:r>
      <w:r w:rsidR="00902EC0">
        <w:tab/>
      </w:r>
      <w:r>
        <w:t xml:space="preserve"> Upravni odjel za</w:t>
      </w:r>
      <w:r w:rsidR="00902EC0">
        <w:t xml:space="preserve"> proračun</w:t>
      </w:r>
    </w:p>
    <w:p w:rsidR="00902EC0" w:rsidRDefault="00902EC0" w:rsidP="00724F3E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 xml:space="preserve"> Požega</w:t>
      </w:r>
    </w:p>
    <w:p w:rsidR="0045430B" w:rsidRDefault="0045430B" w:rsidP="00724F3E"/>
    <w:p w:rsidR="000304A3" w:rsidRDefault="000304A3" w:rsidP="00724F3E"/>
    <w:p w:rsidR="000304A3" w:rsidRDefault="000304A3" w:rsidP="00724F3E"/>
    <w:p w:rsidR="004A1E21" w:rsidRDefault="00820CDA" w:rsidP="00724F3E">
      <w:pPr>
        <w:rPr>
          <w:b/>
        </w:rPr>
      </w:pPr>
      <w:r w:rsidRPr="009F08C0">
        <w:rPr>
          <w:b/>
        </w:rPr>
        <w:t>PREDMET: Obrazloženje financijskog plana 201</w:t>
      </w:r>
      <w:r w:rsidR="008740B2">
        <w:rPr>
          <w:b/>
        </w:rPr>
        <w:t>9</w:t>
      </w:r>
      <w:r w:rsidR="00556623">
        <w:rPr>
          <w:b/>
        </w:rPr>
        <w:t>.</w:t>
      </w:r>
      <w:r w:rsidR="00DB757A">
        <w:rPr>
          <w:b/>
        </w:rPr>
        <w:t>-202</w:t>
      </w:r>
      <w:r w:rsidR="008740B2">
        <w:rPr>
          <w:b/>
        </w:rPr>
        <w:t>1</w:t>
      </w:r>
      <w:r w:rsidR="00556623">
        <w:rPr>
          <w:b/>
        </w:rPr>
        <w:t>.</w:t>
      </w:r>
    </w:p>
    <w:p w:rsidR="00902EC0" w:rsidRDefault="00902EC0" w:rsidP="00724F3E">
      <w:pPr>
        <w:rPr>
          <w:b/>
        </w:rPr>
      </w:pPr>
    </w:p>
    <w:p w:rsidR="000304A3" w:rsidRPr="009F08C0" w:rsidRDefault="000304A3" w:rsidP="00724F3E">
      <w:pPr>
        <w:rPr>
          <w:b/>
        </w:rPr>
      </w:pPr>
    </w:p>
    <w:p w:rsidR="00902EC0" w:rsidRPr="000304A3" w:rsidRDefault="00902EC0" w:rsidP="000304A3">
      <w:pPr>
        <w:ind w:firstLine="708"/>
        <w:jc w:val="both"/>
        <w:rPr>
          <w:b/>
          <w:i/>
        </w:rPr>
      </w:pPr>
      <w:r w:rsidRPr="000304A3">
        <w:rPr>
          <w:b/>
          <w:i/>
        </w:rPr>
        <w:t>Sažetak djelokruga rada</w:t>
      </w:r>
    </w:p>
    <w:p w:rsidR="00724F3E" w:rsidRDefault="00724F3E" w:rsidP="00724F3E">
      <w:pPr>
        <w:jc w:val="both"/>
        <w:rPr>
          <w:i/>
        </w:rPr>
      </w:pPr>
    </w:p>
    <w:p w:rsidR="000304A3" w:rsidRPr="00175DEE" w:rsidRDefault="000304A3" w:rsidP="00724F3E">
      <w:pPr>
        <w:jc w:val="both"/>
        <w:rPr>
          <w:i/>
        </w:rPr>
      </w:pPr>
    </w:p>
    <w:p w:rsidR="00902EC0" w:rsidRDefault="00902EC0" w:rsidP="00724F3E">
      <w:pPr>
        <w:ind w:firstLine="708"/>
        <w:jc w:val="both"/>
      </w:pPr>
      <w:r>
        <w:t xml:space="preserve">Osnovna škola „ Vladimir </w:t>
      </w:r>
      <w:r w:rsidR="00BD69DE">
        <w:t>N</w:t>
      </w:r>
      <w:r>
        <w:t xml:space="preserve">azor“ </w:t>
      </w:r>
      <w:proofErr w:type="spellStart"/>
      <w:r>
        <w:t>Trenkovo</w:t>
      </w:r>
      <w:proofErr w:type="spellEnd"/>
      <w:r>
        <w:t>, javna je ustanova, koja obavlja djelatnost odgoja i osnovnog obrazovanja na temelju Zakona o ustanovama i Zakona o odgoju i obrazovanju u osnovnoj i srednjoj školi.</w:t>
      </w:r>
    </w:p>
    <w:p w:rsidR="00902EC0" w:rsidRDefault="00902EC0" w:rsidP="00724F3E">
      <w:pPr>
        <w:jc w:val="both"/>
      </w:pPr>
      <w:r>
        <w:t xml:space="preserve">Sjedište škole je u </w:t>
      </w:r>
      <w:proofErr w:type="spellStart"/>
      <w:r>
        <w:t>Trenkovu</w:t>
      </w:r>
      <w:proofErr w:type="spellEnd"/>
      <w:r>
        <w:t xml:space="preserve">. Škola ima svoju Područnu školu, koja se nalazi u </w:t>
      </w:r>
      <w:proofErr w:type="spellStart"/>
      <w:r>
        <w:t>Mihaljevcima</w:t>
      </w:r>
      <w:proofErr w:type="spellEnd"/>
      <w:r>
        <w:t>.</w:t>
      </w:r>
    </w:p>
    <w:p w:rsidR="00902EC0" w:rsidRDefault="00902EC0" w:rsidP="00724F3E">
      <w:pPr>
        <w:jc w:val="both"/>
      </w:pPr>
      <w:r>
        <w:t>Djelatnost škole obuhvaća odgoj i osn</w:t>
      </w:r>
      <w:r w:rsidR="00FA538D">
        <w:t>ovno obrazovanje djece i mladih</w:t>
      </w:r>
      <w:r>
        <w:t>. Škola provodi svoju d</w:t>
      </w:r>
      <w:r w:rsidR="00FA538D">
        <w:t>jelatnost na temelju nastavnog P</w:t>
      </w:r>
      <w:r>
        <w:t>lana i programa osnovnog obrazovanja, koji je donio resorni ministar svojom Odlukom objavljenom u</w:t>
      </w:r>
      <w:r w:rsidR="00FA538D">
        <w:t xml:space="preserve"> Narodnim novinama 102/06., te N</w:t>
      </w:r>
      <w:r>
        <w:t>acionalnog i školskog kurikuluma.</w:t>
      </w:r>
    </w:p>
    <w:p w:rsidR="00902EC0" w:rsidRDefault="00902EC0" w:rsidP="00724F3E">
      <w:pPr>
        <w:jc w:val="both"/>
      </w:pPr>
      <w:r>
        <w:t>Djelatnost škole financira se iz proračuna Republike Hrvatske i decentraliziranih sredstava županije Požeško-</w:t>
      </w:r>
      <w:r w:rsidR="00B53EC8">
        <w:t>s</w:t>
      </w:r>
      <w:r>
        <w:t>lavonske.</w:t>
      </w:r>
    </w:p>
    <w:p w:rsidR="00724F3E" w:rsidRDefault="00724F3E" w:rsidP="00724F3E">
      <w:pPr>
        <w:jc w:val="both"/>
      </w:pPr>
    </w:p>
    <w:p w:rsidR="00902EC0" w:rsidRDefault="00902EC0" w:rsidP="00724F3E">
      <w:pPr>
        <w:ind w:firstLine="708"/>
        <w:jc w:val="both"/>
      </w:pPr>
      <w:r>
        <w:t xml:space="preserve">Svoju djelatnost škola obavlja kao javnu službu. Na temelju javnih ovlasti škola obavlja sljedeće poslove: 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 xml:space="preserve">upise i ispise </w:t>
      </w:r>
      <w:r w:rsidR="00BD69DE">
        <w:t xml:space="preserve">učenika </w:t>
      </w:r>
      <w:r>
        <w:t>iz škole s vođenjem odgovarajuće evidencije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organizira i izvodi nastavu i druge oblike odgojno obrazovnog rada s učenicima i vodi odgovarajuću evidenciju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vrednuje i ocjenjuje učenike i vodi evidenciju o tome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izriče pedagoške mjere i vodi evidenciju o njima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izdaje javne isprave iz svog djelokruga rada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 xml:space="preserve">izdaje potvrde iz svog djelokruga </w:t>
      </w:r>
    </w:p>
    <w:p w:rsidR="00724F3E" w:rsidRDefault="00724F3E" w:rsidP="00724F3E">
      <w:pPr>
        <w:ind w:left="180"/>
        <w:jc w:val="both"/>
      </w:pPr>
    </w:p>
    <w:p w:rsidR="00902EC0" w:rsidRDefault="00902EC0" w:rsidP="00724F3E">
      <w:pPr>
        <w:ind w:firstLine="540"/>
        <w:jc w:val="both"/>
      </w:pPr>
      <w:r>
        <w:t>Nastava se ustrojava po razredima, a izvodi u razrednim odjelima. Razredni odjeli ustrojavaju se sukladno Zakonu i Pedagoškom standardu. Tako u O</w:t>
      </w:r>
      <w:r w:rsidR="006072C6">
        <w:t>Š „Vladimir Nazor“</w:t>
      </w:r>
      <w:r w:rsidR="00FA538D">
        <w:t xml:space="preserve"> </w:t>
      </w:r>
      <w:proofErr w:type="spellStart"/>
      <w:r w:rsidR="00FA538D">
        <w:t>Trenkovo</w:t>
      </w:r>
      <w:proofErr w:type="spellEnd"/>
      <w:r w:rsidR="006072C6">
        <w:t xml:space="preserve"> ima ukupno 14</w:t>
      </w:r>
      <w:r>
        <w:t xml:space="preserve"> r</w:t>
      </w:r>
      <w:r w:rsidR="00DB757A">
        <w:t>azrednih odjela, od toga broja 7</w:t>
      </w:r>
      <w:r>
        <w:t xml:space="preserve"> razr</w:t>
      </w:r>
      <w:r w:rsidR="00691F52">
        <w:t>ednih odjela razredne nastave i</w:t>
      </w:r>
      <w:r w:rsidR="00DB757A">
        <w:t xml:space="preserve"> 7</w:t>
      </w:r>
      <w:r>
        <w:t xml:space="preserve"> razrednih odjela predmetne nastave.</w:t>
      </w:r>
    </w:p>
    <w:p w:rsidR="00724F3E" w:rsidRDefault="00724F3E" w:rsidP="00724F3E">
      <w:pPr>
        <w:ind w:firstLine="540"/>
        <w:jc w:val="both"/>
      </w:pPr>
    </w:p>
    <w:p w:rsidR="00902EC0" w:rsidRDefault="00DB00CD" w:rsidP="00724F3E">
      <w:pPr>
        <w:ind w:firstLine="540"/>
        <w:jc w:val="both"/>
      </w:pPr>
      <w:r>
        <w:lastRenderedPageBreak/>
        <w:t>U školi ima ukupno 164</w:t>
      </w:r>
      <w:r w:rsidR="00902EC0">
        <w:t xml:space="preserve"> učenika. Nastavu pohađa i </w:t>
      </w:r>
      <w:r>
        <w:t>8</w:t>
      </w:r>
      <w:r w:rsidR="00902EC0">
        <w:t xml:space="preserve"> učenika</w:t>
      </w:r>
      <w:r>
        <w:t>/</w:t>
      </w:r>
      <w:proofErr w:type="spellStart"/>
      <w:r>
        <w:t>ca</w:t>
      </w:r>
      <w:proofErr w:type="spellEnd"/>
      <w:r w:rsidR="00902EC0">
        <w:t xml:space="preserve"> po </w:t>
      </w:r>
      <w:r w:rsidR="0009512A">
        <w:t>redovitom programu uz prilagodbu sadržaja i individualizirane postupke te 3 učenika/ce po redovitom programu uz individualizirane postupke.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 xml:space="preserve">Osim nastave u </w:t>
      </w:r>
      <w:r w:rsidR="00AF1DA0">
        <w:t>Š</w:t>
      </w:r>
      <w:r>
        <w:t>koli se ustrojavaju i izvannastavne aktivnosti, radi proširivanja obrazovnih sadržaja te poticanja individualnih sklonosti. U izvođenju odgojno obrazovnih sadržaja škola surađuje s drugim školama, ustanovama te udrugama.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 xml:space="preserve">Radi upotpunjavanja obrazovnih sadržaja škola organizira poludnevne, jednodnevne izlete, i višednevne ekskurzije, kao i terensku nastavu. </w:t>
      </w:r>
    </w:p>
    <w:p w:rsidR="00703CB6" w:rsidRDefault="00703CB6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 xml:space="preserve">U školi je organizirana i prehrana za učenike. Troškove prehrane snose roditelji učenika. 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U školi su ustrojene dvije službe:</w:t>
      </w:r>
    </w:p>
    <w:p w:rsidR="00902EC0" w:rsidRDefault="00902EC0" w:rsidP="00724F3E">
      <w:pPr>
        <w:ind w:firstLine="540"/>
        <w:jc w:val="both"/>
      </w:pPr>
      <w:r>
        <w:t>- stručno pedagoška</w:t>
      </w:r>
    </w:p>
    <w:p w:rsidR="00902EC0" w:rsidRDefault="00902EC0" w:rsidP="00724F3E">
      <w:pPr>
        <w:ind w:firstLine="540"/>
        <w:jc w:val="both"/>
      </w:pPr>
      <w:r>
        <w:t>- administrativno tehnička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Stručno pedagoška služba obavlja poslove u vezi s izvođenjem nastavnog plana i programa, te neposrednog odgojno obrazovnog rada s učenicima.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Administrativno tehnička služba obavlja opće, pravne, kadrovske poslove, računovodstveno–knjigovodstvene</w:t>
      </w:r>
      <w:r w:rsidR="001A4756">
        <w:t xml:space="preserve"> </w:t>
      </w:r>
      <w:r>
        <w:t>poslove, poslove čuvanja i vođenja pedagoške dokumentacije, tehničkog održavanja i rukovanja opremom i uređajima, poslove održavanja čistoće objekta i okoliša.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ind w:firstLine="540"/>
        <w:jc w:val="both"/>
      </w:pPr>
      <w:r>
        <w:t>Škola ima 3</w:t>
      </w:r>
      <w:r w:rsidR="00512F86">
        <w:t>7</w:t>
      </w:r>
      <w:r>
        <w:t xml:space="preserve"> zaposlenih. Od toga broja 7 je administrativno tehničkog osoblja, a ostalo </w:t>
      </w:r>
      <w:r w:rsidR="00BD69DE">
        <w:t>je</w:t>
      </w:r>
      <w:r>
        <w:t xml:space="preserve"> stručno pedagoška služba.</w:t>
      </w:r>
    </w:p>
    <w:p w:rsidR="00724F3E" w:rsidRDefault="00724F3E" w:rsidP="00724F3E">
      <w:pPr>
        <w:ind w:firstLine="540"/>
        <w:jc w:val="both"/>
      </w:pPr>
    </w:p>
    <w:p w:rsidR="00902EC0" w:rsidRDefault="00902EC0" w:rsidP="00724F3E">
      <w:pPr>
        <w:jc w:val="both"/>
      </w:pPr>
      <w:r>
        <w:t>Škola obavlja djelatnost na temelju: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Ustav RH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ustanovama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radu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odgoju i obrazovanju u osnovnoj i srednjoj školi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upravnom postupku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Pravilnik o upisu djece u osnovnu školu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javnoj nabavi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Zakon o proračunu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Pravilnik o proračunskom računovodstvu i Računskom planu</w:t>
      </w:r>
    </w:p>
    <w:p w:rsidR="00902EC0" w:rsidRDefault="00902EC0" w:rsidP="00724F3E">
      <w:pPr>
        <w:numPr>
          <w:ilvl w:val="0"/>
          <w:numId w:val="10"/>
        </w:numPr>
        <w:jc w:val="both"/>
      </w:pPr>
      <w:r>
        <w:t>Uredbe o računovodstvu</w:t>
      </w:r>
    </w:p>
    <w:p w:rsidR="00902EC0" w:rsidRDefault="00902EC0" w:rsidP="00724F3E">
      <w:pPr>
        <w:jc w:val="both"/>
      </w:pPr>
    </w:p>
    <w:p w:rsidR="00902EC0" w:rsidRDefault="00902EC0" w:rsidP="00724F3E">
      <w:pPr>
        <w:jc w:val="both"/>
      </w:pPr>
    </w:p>
    <w:p w:rsidR="000304A3" w:rsidRDefault="000304A3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266475" w:rsidRDefault="00266475" w:rsidP="00724F3E">
      <w:pPr>
        <w:jc w:val="both"/>
      </w:pPr>
    </w:p>
    <w:p w:rsidR="0049065F" w:rsidRPr="000304A3" w:rsidRDefault="0049065F" w:rsidP="00724F3E">
      <w:pPr>
        <w:ind w:firstLine="708"/>
        <w:jc w:val="both"/>
        <w:rPr>
          <w:b/>
          <w:i/>
        </w:rPr>
      </w:pPr>
      <w:r w:rsidRPr="000304A3">
        <w:rPr>
          <w:b/>
          <w:color w:val="FF0000"/>
        </w:rPr>
        <w:lastRenderedPageBreak/>
        <w:t xml:space="preserve"> </w:t>
      </w:r>
      <w:r w:rsidR="000F3AF0" w:rsidRPr="000304A3">
        <w:rPr>
          <w:b/>
          <w:i/>
        </w:rPr>
        <w:t>Obrazloženje programa</w:t>
      </w:r>
    </w:p>
    <w:p w:rsidR="000304A3" w:rsidRDefault="000304A3" w:rsidP="00724F3E">
      <w:pPr>
        <w:ind w:firstLine="708"/>
        <w:jc w:val="both"/>
        <w:rPr>
          <w:i/>
        </w:rPr>
      </w:pPr>
    </w:p>
    <w:p w:rsidR="00724F3E" w:rsidRDefault="00724F3E" w:rsidP="00724F3E">
      <w:pPr>
        <w:ind w:firstLine="708"/>
        <w:jc w:val="both"/>
        <w:rPr>
          <w:i/>
        </w:rPr>
      </w:pPr>
    </w:p>
    <w:p w:rsidR="00796302" w:rsidRDefault="00274EA5" w:rsidP="00724F3E">
      <w:pPr>
        <w:ind w:firstLine="708"/>
        <w:jc w:val="both"/>
      </w:pPr>
      <w:r>
        <w:t>Prihodi i rashodi po ekonomskoj klasifikaciji utvrđuju se u Financijskom planu</w:t>
      </w:r>
      <w:r w:rsidR="00E81417">
        <w:t xml:space="preserve"> </w:t>
      </w:r>
      <w:r w:rsidR="00CD4E70">
        <w:t xml:space="preserve">za </w:t>
      </w:r>
      <w:r w:rsidR="00E81417">
        <w:t>201</w:t>
      </w:r>
      <w:r w:rsidR="008740B2">
        <w:t>9</w:t>
      </w:r>
      <w:r w:rsidR="00ED7A03">
        <w:t>.</w:t>
      </w:r>
      <w:r w:rsidR="00E81417">
        <w:t>-20</w:t>
      </w:r>
      <w:r w:rsidR="00CD4E70">
        <w:t>2</w:t>
      </w:r>
      <w:r w:rsidR="008740B2">
        <w:t>1</w:t>
      </w:r>
      <w:r w:rsidR="00E81417">
        <w:t>.</w:t>
      </w:r>
      <w:r w:rsidR="00CD4E70">
        <w:t>godinu.</w:t>
      </w:r>
    </w:p>
    <w:p w:rsidR="000304A3" w:rsidRDefault="000304A3" w:rsidP="00724F3E">
      <w:pPr>
        <w:ind w:firstLine="708"/>
        <w:jc w:val="both"/>
      </w:pPr>
    </w:p>
    <w:p w:rsidR="00E81417" w:rsidRDefault="00E81417" w:rsidP="00724F3E">
      <w:pPr>
        <w:ind w:firstLine="708"/>
        <w:jc w:val="both"/>
      </w:pPr>
      <w:r>
        <w:t xml:space="preserve">Rashodi poslovanja i rashodi za nefinancijsku imovinu </w:t>
      </w:r>
      <w:r w:rsidR="00DD33B3">
        <w:t>za 201</w:t>
      </w:r>
      <w:r w:rsidR="008740B2">
        <w:t>9</w:t>
      </w:r>
      <w:r w:rsidR="00DD33B3">
        <w:t xml:space="preserve">.g. </w:t>
      </w:r>
      <w:r>
        <w:t xml:space="preserve">u ukupnom iznosu </w:t>
      </w:r>
      <w:r w:rsidR="00CD4E70">
        <w:t xml:space="preserve">od </w:t>
      </w:r>
      <w:r w:rsidR="008740B2">
        <w:t>5.613.407</w:t>
      </w:r>
      <w:r w:rsidR="0069644A">
        <w:t xml:space="preserve"> kn</w:t>
      </w:r>
      <w:r w:rsidR="0054243A">
        <w:t xml:space="preserve"> ra</w:t>
      </w:r>
      <w:r>
        <w:t>spoređuju se po programima</w:t>
      </w:r>
      <w:r w:rsidR="00B2522C">
        <w:t xml:space="preserve"> i po izvorima</w:t>
      </w:r>
      <w:r>
        <w:t xml:space="preserve"> kako slijedi:</w:t>
      </w:r>
    </w:p>
    <w:p w:rsidR="001E28D9" w:rsidRDefault="001E28D9" w:rsidP="00724F3E">
      <w:pPr>
        <w:ind w:firstLine="708"/>
        <w:jc w:val="both"/>
      </w:pPr>
    </w:p>
    <w:p w:rsidR="00703CB6" w:rsidRDefault="00703CB6" w:rsidP="00724F3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FFFF"/>
          <w:sz w:val="18"/>
          <w:szCs w:val="18"/>
        </w:rPr>
      </w:pPr>
      <w:r>
        <w:rPr>
          <w:rFonts w:ascii="Calibri,Bold" w:hAnsi="Calibri,Bold" w:cs="Calibri,Bold"/>
          <w:b/>
          <w:bCs/>
          <w:color w:val="FFFFFF"/>
          <w:sz w:val="18"/>
          <w:szCs w:val="18"/>
        </w:rPr>
        <w:t xml:space="preserve">  </w:t>
      </w:r>
      <w:proofErr w:type="spellStart"/>
      <w:r w:rsidR="00AD10E3">
        <w:rPr>
          <w:rFonts w:ascii="Calibri,Bold" w:hAnsi="Calibri,Bold" w:cs="Calibri,Bold"/>
          <w:b/>
          <w:bCs/>
          <w:color w:val="FFFFFF"/>
          <w:sz w:val="18"/>
          <w:szCs w:val="18"/>
        </w:rPr>
        <w:t>sk</w:t>
      </w:r>
      <w:proofErr w:type="spellEnd"/>
      <w:r>
        <w:rPr>
          <w:rFonts w:ascii="Calibri,Bold" w:hAnsi="Calibri,Bold" w:cs="Calibri,Bold"/>
          <w:b/>
          <w:bCs/>
          <w:color w:val="FFFFFF"/>
          <w:sz w:val="18"/>
          <w:szCs w:val="18"/>
        </w:rPr>
        <w:t xml:space="preserve">    </w:t>
      </w:r>
    </w:p>
    <w:tbl>
      <w:tblPr>
        <w:tblW w:w="9419" w:type="dxa"/>
        <w:tblInd w:w="288" w:type="dxa"/>
        <w:tblLook w:val="0000" w:firstRow="0" w:lastRow="0" w:firstColumn="0" w:lastColumn="0" w:noHBand="0" w:noVBand="0"/>
      </w:tblPr>
      <w:tblGrid>
        <w:gridCol w:w="1106"/>
        <w:gridCol w:w="109"/>
        <w:gridCol w:w="6680"/>
        <w:gridCol w:w="1524"/>
      </w:tblGrid>
      <w:tr w:rsidR="00703CB6" w:rsidRPr="000E338C" w:rsidTr="001E28D9">
        <w:trPr>
          <w:trHeight w:val="899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B6" w:rsidRPr="000E338C" w:rsidRDefault="00703CB6" w:rsidP="003E4E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33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BROJ KONTA</w:t>
            </w:r>
          </w:p>
        </w:tc>
        <w:tc>
          <w:tcPr>
            <w:tcW w:w="6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B6" w:rsidRPr="000E338C" w:rsidRDefault="00703CB6" w:rsidP="003E4E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33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VRSTA RASHODA/IZDATAKA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CB6" w:rsidRPr="000E338C" w:rsidRDefault="00703CB6" w:rsidP="003E4E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E33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PLANIRANO</w:t>
            </w:r>
          </w:p>
        </w:tc>
      </w:tr>
      <w:tr w:rsidR="00703CB6" w:rsidRPr="00D55831" w:rsidTr="00ED5A1B">
        <w:trPr>
          <w:trHeight w:val="525"/>
        </w:trPr>
        <w:tc>
          <w:tcPr>
            <w:tcW w:w="7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8D9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3CB6" w:rsidRDefault="00703CB6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PROGRAM: REDOVNA DJELATNOST OSNOVNOG ŠKOLSTVA</w:t>
            </w:r>
          </w:p>
          <w:p w:rsidR="001E28D9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E28D9" w:rsidRPr="00D55831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8740B2" w:rsidP="008740B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  <w:t>5.613.407</w:t>
            </w:r>
          </w:p>
        </w:tc>
      </w:tr>
      <w:tr w:rsidR="00703CB6" w:rsidRPr="00D55831" w:rsidTr="00ED5A1B">
        <w:trPr>
          <w:trHeight w:val="300"/>
        </w:trPr>
        <w:tc>
          <w:tcPr>
            <w:tcW w:w="78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Default="00703CB6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Aktivnost: Osnovna aktivnost osnovnog školstva</w:t>
            </w:r>
          </w:p>
          <w:p w:rsidR="001E28D9" w:rsidRPr="00D55831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ED7A03" w:rsidP="00B53EC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4.633.407</w:t>
            </w:r>
          </w:p>
        </w:tc>
      </w:tr>
      <w:tr w:rsidR="00703CB6" w:rsidRPr="00D55831" w:rsidTr="00ED5A1B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Izvor: Državni proračun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2E19B8" w:rsidP="001772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4.198.900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E64171" w:rsidRDefault="00CD4E70" w:rsidP="00CD4E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</w:t>
            </w:r>
            <w:r w:rsidR="002E19B8">
              <w:rPr>
                <w:rFonts w:ascii="Arial" w:hAnsi="Arial" w:cs="Arial"/>
                <w:b/>
                <w:sz w:val="22"/>
                <w:szCs w:val="22"/>
              </w:rPr>
              <w:t>98.900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za zaposlene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2E19B8" w:rsidP="00CD4E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4.054.600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Plaće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2E19B8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3.341.600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Ostali rashodi za zaposlene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CD4E70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E19B8">
              <w:rPr>
                <w:rFonts w:ascii="Arial" w:hAnsi="Arial" w:cs="Arial"/>
                <w:sz w:val="22"/>
                <w:szCs w:val="22"/>
              </w:rPr>
              <w:t>4.700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Doprinosi na plaće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CD4E70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E19B8">
              <w:rPr>
                <w:rFonts w:ascii="Arial" w:hAnsi="Arial" w:cs="Arial"/>
                <w:sz w:val="22"/>
                <w:szCs w:val="22"/>
              </w:rPr>
              <w:t>78.300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Default="00177222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177222" w:rsidRPr="00D55831" w:rsidRDefault="009E2099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22" w:rsidRDefault="00177222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Materijalni rashodi</w:t>
            </w:r>
          </w:p>
          <w:p w:rsidR="00177222" w:rsidRPr="00D55831" w:rsidRDefault="009E2099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Naknade troškova zaposlenima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9E2099" w:rsidP="003E4E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209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19B8">
              <w:rPr>
                <w:rFonts w:ascii="Arial" w:hAnsi="Arial" w:cs="Arial"/>
                <w:b/>
                <w:sz w:val="22"/>
                <w:szCs w:val="22"/>
              </w:rPr>
              <w:t>44.300</w:t>
            </w:r>
          </w:p>
          <w:p w:rsidR="00177222" w:rsidRPr="00D55831" w:rsidRDefault="00CD4E70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E19B8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Default="009E2099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</w:t>
            </w:r>
          </w:p>
          <w:p w:rsidR="00177222" w:rsidRPr="00D55831" w:rsidRDefault="00177222" w:rsidP="003E4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Default="009E2099" w:rsidP="003E4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nespomenuti rashodi poslovanja</w:t>
            </w:r>
          </w:p>
          <w:p w:rsidR="00177222" w:rsidRPr="00D55831" w:rsidRDefault="00177222" w:rsidP="003E4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222" w:rsidRDefault="00CD4E70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E19B8">
              <w:rPr>
                <w:rFonts w:ascii="Arial" w:hAnsi="Arial" w:cs="Arial"/>
                <w:sz w:val="22"/>
                <w:szCs w:val="22"/>
              </w:rPr>
              <w:t>.300</w:t>
            </w:r>
          </w:p>
          <w:p w:rsidR="00177222" w:rsidRPr="00D55831" w:rsidRDefault="00177222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CB6" w:rsidRPr="00D55831" w:rsidTr="00ED5A1B">
        <w:trPr>
          <w:trHeight w:val="300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Default="00703CB6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Aktivnost: Osnovna aktivnost osnovnog školstva</w:t>
            </w:r>
          </w:p>
          <w:p w:rsidR="001E28D9" w:rsidRPr="00D55831" w:rsidRDefault="001E28D9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ED7A03" w:rsidP="003E4EE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384.507</w:t>
            </w:r>
          </w:p>
        </w:tc>
      </w:tr>
      <w:tr w:rsidR="00703CB6" w:rsidRPr="00D55831" w:rsidTr="00ED5A1B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Izvor: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Županijski proračun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ED7A03" w:rsidP="006964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384.507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B2522C" w:rsidP="003E4E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="00ED7A03">
              <w:rPr>
                <w:rFonts w:ascii="Arial" w:hAnsi="Arial" w:cs="Arial"/>
                <w:b/>
                <w:sz w:val="22"/>
                <w:szCs w:val="22"/>
              </w:rPr>
              <w:t>4.507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Materijalni rashodi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B2522C" w:rsidP="003E4E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="00ED7A03">
              <w:rPr>
                <w:rFonts w:ascii="Arial" w:hAnsi="Arial" w:cs="Arial"/>
                <w:b/>
                <w:sz w:val="22"/>
                <w:szCs w:val="22"/>
              </w:rPr>
              <w:t>2.507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Naknade troškova zaposlenima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B2522C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ED7A0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za materijal i energiju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9E2099" w:rsidP="006964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2522C">
              <w:rPr>
                <w:rFonts w:ascii="Arial" w:hAnsi="Arial" w:cs="Arial"/>
                <w:sz w:val="22"/>
                <w:szCs w:val="22"/>
              </w:rPr>
              <w:t>3</w:t>
            </w:r>
            <w:r w:rsidR="00ED7A03">
              <w:rPr>
                <w:rFonts w:ascii="Arial" w:hAnsi="Arial" w:cs="Arial"/>
                <w:sz w:val="22"/>
                <w:szCs w:val="22"/>
              </w:rPr>
              <w:t>7.000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za usluge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B2522C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ED7A03">
              <w:rPr>
                <w:rFonts w:ascii="Arial" w:hAnsi="Arial" w:cs="Arial"/>
                <w:sz w:val="22"/>
                <w:szCs w:val="22"/>
              </w:rPr>
              <w:t>6.657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Ostali nespomenuti 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B2522C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ED7A03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Financijski rashodi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9E2099" w:rsidRDefault="0069644A" w:rsidP="003E4E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2099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2522C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</w:tr>
      <w:tr w:rsidR="00BC5700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00" w:rsidRPr="00D55831" w:rsidRDefault="00B2522C" w:rsidP="00A17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00" w:rsidRPr="00D55831" w:rsidRDefault="00B2522C" w:rsidP="00BC5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financijski rashodi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700" w:rsidRPr="00E64171" w:rsidRDefault="00B2522C" w:rsidP="00A17B2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</w:tr>
      <w:tr w:rsidR="00252DA9" w:rsidRPr="00D55831" w:rsidTr="00D2328C">
        <w:trPr>
          <w:trHeight w:val="300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2DA9" w:rsidRDefault="00252DA9" w:rsidP="00D23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>Aktivnost: Osnovna aktivnost osnovnog školstva</w:t>
            </w:r>
          </w:p>
          <w:p w:rsidR="001E28D9" w:rsidRPr="00D55831" w:rsidRDefault="001E28D9" w:rsidP="00D23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DA9" w:rsidRPr="00D55831" w:rsidRDefault="00ED7A03" w:rsidP="00D232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2522C">
              <w:rPr>
                <w:rFonts w:ascii="Arial" w:hAnsi="Arial" w:cs="Arial"/>
                <w:b/>
                <w:bCs/>
                <w:sz w:val="22"/>
                <w:szCs w:val="22"/>
              </w:rPr>
              <w:t>0.000</w:t>
            </w:r>
          </w:p>
        </w:tc>
      </w:tr>
      <w:tr w:rsidR="00252DA9" w:rsidRPr="00D55831" w:rsidTr="00D2328C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2DA9" w:rsidRPr="00D55831" w:rsidRDefault="00252DA9" w:rsidP="00252DA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Izvor: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Općinski proračun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DA9" w:rsidRPr="00D55831" w:rsidRDefault="00ED7A03" w:rsidP="00D2328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50.000</w:t>
            </w:r>
          </w:p>
        </w:tc>
      </w:tr>
      <w:tr w:rsidR="00252DA9" w:rsidRPr="00D55831" w:rsidTr="00D2328C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52DA9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252DA9" w:rsidRPr="00D55831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  <w:p w:rsidR="00252DA9" w:rsidRDefault="00B2522C" w:rsidP="00D23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Naknade građanima i kućanstvima</w:t>
            </w:r>
          </w:p>
          <w:p w:rsidR="00252DA9" w:rsidRPr="00D55831" w:rsidRDefault="00B2522C" w:rsidP="00B252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naknade građanima i kućanstvima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B2522C" w:rsidRDefault="00ED7A03" w:rsidP="00D2328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50.000</w:t>
            </w:r>
          </w:p>
          <w:p w:rsidR="00252DA9" w:rsidRDefault="00ED7A03" w:rsidP="00D232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</w:t>
            </w:r>
          </w:p>
          <w:p w:rsidR="00252DA9" w:rsidRPr="00E64171" w:rsidRDefault="00ED7A03" w:rsidP="00B252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</w:tr>
      <w:tr w:rsidR="00252DA9" w:rsidRPr="00D55831" w:rsidTr="009F7A15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A9" w:rsidRPr="00D55831" w:rsidRDefault="00252DA9" w:rsidP="00D23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DA9" w:rsidRPr="00D55831" w:rsidRDefault="00252DA9" w:rsidP="00D23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DA9" w:rsidRPr="00D55831" w:rsidRDefault="00252DA9" w:rsidP="00B252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A15" w:rsidRPr="00D55831" w:rsidTr="009F7A15">
        <w:trPr>
          <w:trHeight w:val="68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15" w:rsidRDefault="009F7A15" w:rsidP="00D232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7A15" w:rsidRPr="00D55831" w:rsidRDefault="009F7A15" w:rsidP="00D23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A15" w:rsidRPr="00D55831" w:rsidRDefault="009F7A15" w:rsidP="00D232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A15" w:rsidRPr="00D55831" w:rsidRDefault="009F7A15" w:rsidP="00B252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CB6" w:rsidRPr="00D55831" w:rsidTr="009F7A15">
        <w:trPr>
          <w:trHeight w:val="300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A15" w:rsidRDefault="009F7A15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3CB6" w:rsidRDefault="00703CB6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Aktivnost: Prehrana učenika</w:t>
            </w:r>
          </w:p>
          <w:p w:rsidR="009F7A15" w:rsidRPr="00D55831" w:rsidRDefault="009F7A15" w:rsidP="003E4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B2522C" w:rsidP="003E4EE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90.000</w:t>
            </w:r>
          </w:p>
        </w:tc>
      </w:tr>
      <w:tr w:rsidR="00703CB6" w:rsidRPr="00D55831" w:rsidTr="00ED5A1B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Izvor: Prihodi za posebne namjene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B2522C" w:rsidP="003E4EE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90.000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B2522C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90.000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Materijalni rashodi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B2522C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E2099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703CB6" w:rsidRPr="00D55831" w:rsidTr="00ED5A1B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6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>Rashodi za materijal i energiju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B2522C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E2099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</w:tr>
      <w:tr w:rsidR="00703CB6" w:rsidRPr="00D55831" w:rsidTr="00ED5A1B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B6" w:rsidRPr="00D55831" w:rsidRDefault="00703CB6" w:rsidP="003E4E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2C" w:rsidRPr="00D55831" w:rsidTr="00106843">
        <w:trPr>
          <w:trHeight w:val="300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A15" w:rsidRDefault="009F7A15" w:rsidP="001E28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522C" w:rsidRDefault="00B2522C" w:rsidP="001E28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Aktivnost: </w:t>
            </w:r>
            <w:r w:rsidR="001E28D9">
              <w:rPr>
                <w:rFonts w:ascii="Arial" w:hAnsi="Arial" w:cs="Arial"/>
                <w:b/>
                <w:bCs/>
                <w:sz w:val="22"/>
                <w:szCs w:val="22"/>
              </w:rPr>
              <w:t>Energetska obnova zgrade</w:t>
            </w:r>
          </w:p>
          <w:p w:rsidR="009F7A15" w:rsidRPr="00D55831" w:rsidRDefault="009F7A15" w:rsidP="001E28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ED7A03" w:rsidP="0010684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890.000</w:t>
            </w:r>
          </w:p>
        </w:tc>
      </w:tr>
      <w:tr w:rsidR="00B2522C" w:rsidRPr="00D55831" w:rsidTr="00106843">
        <w:trPr>
          <w:trHeight w:val="285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522C" w:rsidRPr="00D55831" w:rsidRDefault="00B2522C" w:rsidP="001E28D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558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Izvor: </w:t>
            </w:r>
            <w:r w:rsidR="001E28D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Prihodi iz državnog proračuna temeljem prijenosa EU sredstava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ED7A03" w:rsidP="001068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890.000</w:t>
            </w:r>
          </w:p>
        </w:tc>
      </w:tr>
      <w:tr w:rsidR="00B2522C" w:rsidRPr="00D55831" w:rsidTr="00106843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1E28D9" w:rsidP="00106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B2522C" w:rsidP="001E28D9">
            <w:pPr>
              <w:rPr>
                <w:rFonts w:ascii="Arial" w:hAnsi="Arial" w:cs="Arial"/>
                <w:sz w:val="22"/>
                <w:szCs w:val="22"/>
              </w:rPr>
            </w:pPr>
            <w:r w:rsidRPr="00D55831">
              <w:rPr>
                <w:rFonts w:ascii="Arial" w:hAnsi="Arial" w:cs="Arial"/>
                <w:sz w:val="22"/>
                <w:szCs w:val="22"/>
              </w:rPr>
              <w:t xml:space="preserve">Rashodi </w:t>
            </w:r>
            <w:r w:rsidR="001E28D9">
              <w:rPr>
                <w:rFonts w:ascii="Arial" w:hAnsi="Arial" w:cs="Arial"/>
                <w:sz w:val="22"/>
                <w:szCs w:val="22"/>
              </w:rPr>
              <w:t>za nabavu nefinancijske imovine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ED7A03" w:rsidP="001E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890.000</w:t>
            </w:r>
          </w:p>
        </w:tc>
      </w:tr>
      <w:tr w:rsidR="00B2522C" w:rsidRPr="00D55831" w:rsidTr="00106843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1E28D9" w:rsidP="00106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1E28D9" w:rsidP="001E2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ED7A03" w:rsidP="001E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890.000</w:t>
            </w:r>
          </w:p>
        </w:tc>
      </w:tr>
      <w:tr w:rsidR="00B2522C" w:rsidRPr="00D55831" w:rsidTr="00106843">
        <w:trPr>
          <w:trHeight w:val="28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1E28D9" w:rsidP="001E2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</w:t>
            </w:r>
          </w:p>
        </w:tc>
        <w:tc>
          <w:tcPr>
            <w:tcW w:w="6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1E28D9" w:rsidP="00106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Dodatna ulaganja na građevinskim objektima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ED7A03" w:rsidP="001E28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890.000</w:t>
            </w:r>
          </w:p>
        </w:tc>
      </w:tr>
      <w:tr w:rsidR="00B2522C" w:rsidRPr="00D55831" w:rsidTr="00106843">
        <w:trPr>
          <w:trHeight w:val="255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B2522C" w:rsidP="00106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2C" w:rsidRPr="00D55831" w:rsidRDefault="00B2522C" w:rsidP="00106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22C" w:rsidRPr="00D55831" w:rsidRDefault="00B2522C" w:rsidP="001068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22C" w:rsidRDefault="00B2522C" w:rsidP="006072C6">
      <w:pPr>
        <w:jc w:val="both"/>
        <w:rPr>
          <w:b/>
          <w:i/>
        </w:rPr>
      </w:pPr>
    </w:p>
    <w:p w:rsidR="001E28D9" w:rsidRDefault="001E28D9" w:rsidP="006072C6">
      <w:pPr>
        <w:jc w:val="both"/>
        <w:rPr>
          <w:b/>
          <w:i/>
        </w:rPr>
      </w:pPr>
    </w:p>
    <w:p w:rsidR="009F7A15" w:rsidRDefault="009F7A15" w:rsidP="006072C6">
      <w:pPr>
        <w:jc w:val="both"/>
        <w:rPr>
          <w:b/>
          <w:i/>
        </w:rPr>
      </w:pPr>
    </w:p>
    <w:p w:rsidR="008C1336" w:rsidRPr="000A349D" w:rsidRDefault="008C1336" w:rsidP="006072C6">
      <w:pPr>
        <w:jc w:val="both"/>
        <w:rPr>
          <w:b/>
          <w:i/>
        </w:rPr>
      </w:pPr>
      <w:r w:rsidRPr="000A349D">
        <w:rPr>
          <w:b/>
          <w:i/>
        </w:rPr>
        <w:t>Pokazatelji rezultata škole:</w:t>
      </w:r>
    </w:p>
    <w:p w:rsidR="008C1336" w:rsidRDefault="008C1336" w:rsidP="008C1336">
      <w:pPr>
        <w:ind w:firstLine="708"/>
        <w:jc w:val="both"/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240"/>
        <w:gridCol w:w="720"/>
        <w:gridCol w:w="657"/>
        <w:gridCol w:w="1276"/>
        <w:gridCol w:w="709"/>
        <w:gridCol w:w="709"/>
        <w:gridCol w:w="789"/>
      </w:tblGrid>
      <w:tr w:rsidR="008C1336" w:rsidRPr="00237D35" w:rsidTr="00091083">
        <w:trPr>
          <w:cantSplit/>
          <w:trHeight w:val="1188"/>
        </w:trPr>
        <w:tc>
          <w:tcPr>
            <w:tcW w:w="1728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3240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720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657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 vrijednost</w:t>
            </w:r>
          </w:p>
        </w:tc>
        <w:tc>
          <w:tcPr>
            <w:tcW w:w="1276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709" w:type="dxa"/>
            <w:textDirection w:val="btLr"/>
          </w:tcPr>
          <w:p w:rsidR="008C1336" w:rsidRDefault="008C1336" w:rsidP="00CE08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Ciljana vrijednost </w:t>
            </w:r>
          </w:p>
          <w:p w:rsidR="008C1336" w:rsidRDefault="008C1336" w:rsidP="00F174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</w:t>
            </w:r>
            <w:r w:rsidR="00265EA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extDirection w:val="btLr"/>
          </w:tcPr>
          <w:p w:rsidR="008C1336" w:rsidRDefault="008C1336" w:rsidP="00F174A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 (201</w:t>
            </w:r>
            <w:r w:rsidR="00265E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789" w:type="dxa"/>
            <w:textDirection w:val="btLr"/>
          </w:tcPr>
          <w:p w:rsidR="008C1336" w:rsidRDefault="00265EAD" w:rsidP="00F174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(2020.</w:t>
            </w:r>
            <w:r w:rsidR="008C1336">
              <w:rPr>
                <w:sz w:val="18"/>
                <w:szCs w:val="18"/>
              </w:rPr>
              <w:t>)</w:t>
            </w:r>
          </w:p>
        </w:tc>
      </w:tr>
      <w:tr w:rsidR="008C1336" w:rsidRPr="00237D35" w:rsidTr="00091083">
        <w:trPr>
          <w:trHeight w:val="2383"/>
        </w:trPr>
        <w:tc>
          <w:tcPr>
            <w:tcW w:w="1728" w:type="dxa"/>
          </w:tcPr>
          <w:p w:rsidR="008C1336" w:rsidRDefault="008C1336" w:rsidP="00CE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Školski preventivni program za suzbijanje zlouporabe sredstava ovisnosti, školski preventivni program za sprječavanje nasilja među djecom i mladima, „ Zdrav za 5“ </w:t>
            </w:r>
            <w:r w:rsidR="00D14856">
              <w:rPr>
                <w:sz w:val="18"/>
                <w:szCs w:val="18"/>
              </w:rPr>
              <w:t>, Zajedno možemo više, Sigurnost i zaštita djece na Internetu, Znam što je ne diram opasno je, Sigurnost za sve, Cesta i ja.</w:t>
            </w:r>
          </w:p>
          <w:p w:rsidR="008C1336" w:rsidRDefault="008C1336" w:rsidP="00CE083F">
            <w:pPr>
              <w:rPr>
                <w:sz w:val="18"/>
                <w:szCs w:val="18"/>
              </w:rPr>
            </w:pPr>
          </w:p>
          <w:p w:rsidR="008C1336" w:rsidRDefault="008C1336" w:rsidP="00CE083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8C1336" w:rsidRPr="00DD7C8C" w:rsidRDefault="008C1336" w:rsidP="002C28BC">
            <w:pPr>
              <w:rPr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>- poticanje učenika na afirmiranje pozitivnih vrijednosti, smanjiti pojavu nasilničkog ponašanja, upoznavanje učenika s problemom ovisnosti, kvalitetno provođenje slobodnog vremena; smanjivati interes djece i mladih za uzimanjem droga i opojnih sredstava te općenito unapređivanje i zaštita zdravlja mladih, pomoći djeci da odrastu u osobe koje ne vrše nasilje nad sobom, drugima i nad prirodom</w:t>
            </w:r>
            <w:r w:rsidR="00D14856">
              <w:rPr>
                <w:sz w:val="18"/>
                <w:szCs w:val="18"/>
              </w:rPr>
              <w:t>,</w:t>
            </w:r>
            <w:r w:rsidR="00D14856">
              <w:rPr>
                <w:lang w:val="hr-BA"/>
              </w:rPr>
              <w:t xml:space="preserve"> </w:t>
            </w:r>
            <w:r w:rsidR="00D14856" w:rsidRPr="00D14856">
              <w:rPr>
                <w:sz w:val="18"/>
                <w:szCs w:val="18"/>
                <w:lang w:val="hr-BA"/>
              </w:rPr>
              <w:t>kroz interaktivna predavanja učenicima 7. razreda, ukazati na potrebu pridržavanja sigurnosnih elemenata prilikom korištenja novih tehnologija, povećanja razine znanja i svijesti o posljedicama zlouporabe korištenja istih</w:t>
            </w:r>
            <w:r w:rsidR="00D14856">
              <w:rPr>
                <w:sz w:val="18"/>
                <w:szCs w:val="18"/>
                <w:lang w:val="hr-BA"/>
              </w:rPr>
              <w:t>,</w:t>
            </w:r>
            <w:r w:rsidR="00D14856" w:rsidRPr="00D14856">
              <w:rPr>
                <w:sz w:val="18"/>
                <w:szCs w:val="18"/>
                <w:lang w:val="hr-BA"/>
              </w:rPr>
              <w:t xml:space="preserve"> Zaštita djece i mladeži od posljedica zlouporabe oružja, minsko- eksplozivnih i p</w:t>
            </w:r>
            <w:r w:rsidR="002C28BC" w:rsidRPr="00D14856">
              <w:rPr>
                <w:sz w:val="18"/>
                <w:szCs w:val="18"/>
                <w:lang w:val="hr-BA"/>
              </w:rPr>
              <w:t>i</w:t>
            </w:r>
            <w:r w:rsidR="00D14856" w:rsidRPr="00D14856">
              <w:rPr>
                <w:sz w:val="18"/>
                <w:szCs w:val="18"/>
                <w:lang w:val="hr-BA"/>
              </w:rPr>
              <w:t>rotehničkih sredstava</w:t>
            </w:r>
            <w:r w:rsidR="00D14856">
              <w:rPr>
                <w:sz w:val="18"/>
                <w:szCs w:val="18"/>
                <w:lang w:val="hr-BA"/>
              </w:rPr>
              <w:t xml:space="preserve">, </w:t>
            </w:r>
            <w:r w:rsidR="00D14856" w:rsidRPr="00D14856">
              <w:rPr>
                <w:sz w:val="18"/>
                <w:szCs w:val="18"/>
                <w:lang w:val="hr-BA"/>
              </w:rPr>
              <w:t>Podići razinu sigurnosti najmlađih sudionika u prometu</w:t>
            </w:r>
          </w:p>
        </w:tc>
        <w:tc>
          <w:tcPr>
            <w:tcW w:w="720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EB3F9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657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EB3F9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  <w:p w:rsidR="00B53EC8" w:rsidRDefault="00B53EC8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B53EC8" w:rsidRDefault="00B53EC8" w:rsidP="00CE0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Policija</w:t>
            </w:r>
          </w:p>
          <w:p w:rsidR="00B53EC8" w:rsidRDefault="00B53EC8" w:rsidP="00CE0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ustanove</w:t>
            </w:r>
          </w:p>
        </w:tc>
        <w:tc>
          <w:tcPr>
            <w:tcW w:w="709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DD7C8C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0CD">
              <w:rPr>
                <w:sz w:val="18"/>
                <w:szCs w:val="18"/>
              </w:rPr>
              <w:t>2</w:t>
            </w:r>
            <w:r w:rsidR="00EB3F9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DB00C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B3F9D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DB00C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B3F9D">
              <w:rPr>
                <w:sz w:val="18"/>
                <w:szCs w:val="18"/>
              </w:rPr>
              <w:t>0</w:t>
            </w:r>
          </w:p>
        </w:tc>
      </w:tr>
      <w:tr w:rsidR="008C1336" w:rsidRPr="00237D35" w:rsidTr="00EB3F9D">
        <w:trPr>
          <w:trHeight w:val="1130"/>
        </w:trPr>
        <w:tc>
          <w:tcPr>
            <w:tcW w:w="1728" w:type="dxa"/>
          </w:tcPr>
          <w:p w:rsidR="00DD7C8C" w:rsidRPr="00DD7C8C" w:rsidRDefault="00DD7C8C" w:rsidP="00DD7C8C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Povećanje broja </w:t>
            </w:r>
          </w:p>
          <w:p w:rsidR="00DD7C8C" w:rsidRPr="00DD7C8C" w:rsidRDefault="00DD7C8C" w:rsidP="00DD7C8C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učenika koji su </w:t>
            </w:r>
          </w:p>
          <w:p w:rsidR="00DD7C8C" w:rsidRPr="00DD7C8C" w:rsidRDefault="00DD7C8C" w:rsidP="00DD7C8C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uključeni u različite </w:t>
            </w:r>
          </w:p>
          <w:p w:rsidR="00DD7C8C" w:rsidRPr="00DD7C8C" w:rsidRDefault="00DD7C8C" w:rsidP="00DD7C8C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školske projekte i </w:t>
            </w:r>
          </w:p>
          <w:p w:rsidR="008C1336" w:rsidRPr="00DD7C8C" w:rsidRDefault="00DD7C8C" w:rsidP="00DD7C8C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aktivnosti</w:t>
            </w:r>
          </w:p>
        </w:tc>
        <w:tc>
          <w:tcPr>
            <w:tcW w:w="3240" w:type="dxa"/>
            <w:vAlign w:val="center"/>
          </w:tcPr>
          <w:p w:rsidR="00DD7C8C" w:rsidRPr="00DD7C8C" w:rsidRDefault="00DD7C8C" w:rsidP="00EB3F9D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Učenike se potiče na</w:t>
            </w:r>
          </w:p>
          <w:p w:rsidR="00DD7C8C" w:rsidRPr="00DD7C8C" w:rsidRDefault="00DD7C8C" w:rsidP="00EB3F9D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 xml:space="preserve">izražavanje kreativnosti, </w:t>
            </w:r>
          </w:p>
          <w:p w:rsidR="00DD7C8C" w:rsidRPr="00DD7C8C" w:rsidRDefault="00DD7C8C" w:rsidP="00EB3F9D">
            <w:pPr>
              <w:rPr>
                <w:sz w:val="18"/>
                <w:szCs w:val="18"/>
              </w:rPr>
            </w:pPr>
            <w:r w:rsidRPr="00DD7C8C">
              <w:rPr>
                <w:sz w:val="18"/>
                <w:szCs w:val="18"/>
              </w:rPr>
              <w:t>talenata i sposobnosti.</w:t>
            </w:r>
          </w:p>
          <w:p w:rsidR="008C1336" w:rsidRPr="00DD7C8C" w:rsidRDefault="008C1336" w:rsidP="00EB3F9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EB3F9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DD7C8C" w:rsidP="00CE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57" w:type="dxa"/>
          </w:tcPr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DD7C8C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2C28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  <w:p w:rsidR="00B53EC8" w:rsidRDefault="00B53EC8" w:rsidP="002C28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vanjski suradnici</w:t>
            </w:r>
          </w:p>
        </w:tc>
        <w:tc>
          <w:tcPr>
            <w:tcW w:w="709" w:type="dxa"/>
          </w:tcPr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DD7C8C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7C8C" w:rsidRDefault="00DD7C8C" w:rsidP="002C28BC">
            <w:pPr>
              <w:jc w:val="center"/>
              <w:rPr>
                <w:sz w:val="18"/>
                <w:szCs w:val="18"/>
              </w:rPr>
            </w:pPr>
          </w:p>
          <w:p w:rsidR="00DD7C8C" w:rsidRDefault="00DD7C8C" w:rsidP="002C28BC">
            <w:pPr>
              <w:jc w:val="center"/>
              <w:rPr>
                <w:sz w:val="18"/>
                <w:szCs w:val="18"/>
              </w:rPr>
            </w:pPr>
          </w:p>
          <w:p w:rsidR="008C1336" w:rsidRPr="00DD7C8C" w:rsidRDefault="00DD7C8C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89" w:type="dxa"/>
          </w:tcPr>
          <w:p w:rsidR="00DD7C8C" w:rsidRDefault="00DD7C8C" w:rsidP="002C28BC">
            <w:pPr>
              <w:jc w:val="center"/>
              <w:rPr>
                <w:sz w:val="18"/>
                <w:szCs w:val="18"/>
              </w:rPr>
            </w:pPr>
          </w:p>
          <w:p w:rsidR="00DD7C8C" w:rsidRDefault="00DD7C8C" w:rsidP="002C28BC">
            <w:pPr>
              <w:jc w:val="center"/>
              <w:rPr>
                <w:sz w:val="18"/>
                <w:szCs w:val="18"/>
              </w:rPr>
            </w:pPr>
          </w:p>
          <w:p w:rsidR="008C1336" w:rsidRPr="00DD7C8C" w:rsidRDefault="00DD7C8C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8C1336" w:rsidTr="00EB3F9D">
        <w:trPr>
          <w:trHeight w:val="4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6" w:rsidRDefault="008266D3" w:rsidP="00DD7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</w:t>
            </w:r>
            <w:r w:rsidR="00DD7C8C">
              <w:rPr>
                <w:sz w:val="18"/>
                <w:szCs w:val="18"/>
              </w:rPr>
              <w:t xml:space="preserve"> osvojenih mjesta</w:t>
            </w:r>
            <w:r w:rsidR="002C28BC">
              <w:rPr>
                <w:sz w:val="18"/>
                <w:szCs w:val="18"/>
              </w:rPr>
              <w:t xml:space="preserve"> (prva tri)</w:t>
            </w:r>
            <w:r w:rsidR="00DD7C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na županijskim i državnim natjecanjima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36" w:rsidRDefault="008266D3" w:rsidP="00EB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Poticati samostalnost i kompetencije kroz aktivnosti i testiranje kvalitete rada nastavnika s nadarenim učenicima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EB3F9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DB00CD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DB00C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DB00C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8C1336" w:rsidP="00CE083F">
            <w:pPr>
              <w:jc w:val="center"/>
              <w:rPr>
                <w:sz w:val="18"/>
                <w:szCs w:val="18"/>
              </w:rPr>
            </w:pPr>
          </w:p>
          <w:p w:rsidR="008C1336" w:rsidRDefault="00DB00CD" w:rsidP="00CE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C1336" w:rsidTr="00EB3F9D">
        <w:trPr>
          <w:trHeight w:val="4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6" w:rsidRDefault="008C1336" w:rsidP="00CE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Sportska natjecanja, stolni tenis, atletika, skok u dalj, mali nogomet, odbojka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6" w:rsidRDefault="008C1336" w:rsidP="00CE083F">
            <w:pPr>
              <w:rPr>
                <w:sz w:val="18"/>
                <w:szCs w:val="18"/>
              </w:rPr>
            </w:pPr>
            <w:r w:rsidRPr="00081EA9">
              <w:rPr>
                <w:sz w:val="18"/>
                <w:szCs w:val="18"/>
              </w:rPr>
              <w:t>Razvijanje sportskog duha u pojedinačnim i grupnim sportovima, očuvati zdravlje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9D" w:rsidRDefault="00EB3F9D" w:rsidP="00EB3F9D">
            <w:pPr>
              <w:rPr>
                <w:sz w:val="18"/>
                <w:szCs w:val="18"/>
              </w:rPr>
            </w:pPr>
          </w:p>
          <w:p w:rsidR="008C1336" w:rsidRDefault="00EB3F9D" w:rsidP="00691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8C1336" w:rsidRDefault="008C1336" w:rsidP="00EB3F9D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6" w:rsidRDefault="00EB3F9D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6" w:rsidRDefault="008C1336" w:rsidP="00EB3F9D">
            <w:pPr>
              <w:jc w:val="center"/>
              <w:rPr>
                <w:b/>
                <w:sz w:val="18"/>
                <w:szCs w:val="18"/>
              </w:rPr>
            </w:pPr>
          </w:p>
          <w:p w:rsidR="008C1336" w:rsidRDefault="008C1336" w:rsidP="00EB3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6" w:rsidRDefault="00D871CC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CC" w:rsidRDefault="00D871CC" w:rsidP="002C28BC">
            <w:pPr>
              <w:jc w:val="center"/>
              <w:rPr>
                <w:sz w:val="18"/>
                <w:szCs w:val="18"/>
              </w:rPr>
            </w:pPr>
          </w:p>
          <w:p w:rsidR="008C1336" w:rsidRDefault="00D871CC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8C1336" w:rsidRDefault="008C1336" w:rsidP="002C2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6" w:rsidRDefault="00D871CC" w:rsidP="002C2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8C1336" w:rsidRDefault="008C1336" w:rsidP="00724F3E">
      <w:pPr>
        <w:ind w:firstLine="708"/>
        <w:rPr>
          <w:b/>
          <w:i/>
        </w:rPr>
      </w:pPr>
    </w:p>
    <w:p w:rsidR="008C1336" w:rsidRDefault="008C1336" w:rsidP="00724F3E">
      <w:pPr>
        <w:ind w:firstLine="708"/>
        <w:rPr>
          <w:b/>
          <w:i/>
        </w:rPr>
      </w:pPr>
    </w:p>
    <w:p w:rsidR="009F7A15" w:rsidRDefault="009F7A15" w:rsidP="00724F3E">
      <w:pPr>
        <w:ind w:firstLine="708"/>
        <w:rPr>
          <w:b/>
          <w:i/>
        </w:rPr>
      </w:pPr>
    </w:p>
    <w:p w:rsidR="009F7A15" w:rsidRDefault="009F7A15" w:rsidP="00724F3E">
      <w:pPr>
        <w:ind w:firstLine="708"/>
        <w:rPr>
          <w:b/>
          <w:i/>
        </w:rPr>
      </w:pPr>
    </w:p>
    <w:p w:rsidR="0034553C" w:rsidRPr="000304A3" w:rsidRDefault="0034553C" w:rsidP="00724F3E">
      <w:pPr>
        <w:ind w:firstLine="708"/>
        <w:rPr>
          <w:b/>
          <w:i/>
        </w:rPr>
      </w:pPr>
      <w:r w:rsidRPr="000304A3">
        <w:rPr>
          <w:b/>
          <w:i/>
        </w:rPr>
        <w:t>Zakonske i druge podloge na kojima se zasnivaju programi</w:t>
      </w:r>
    </w:p>
    <w:p w:rsidR="0034553C" w:rsidRDefault="0034553C" w:rsidP="00724F3E">
      <w:pPr>
        <w:ind w:firstLine="708"/>
        <w:jc w:val="both"/>
        <w:rPr>
          <w:i/>
        </w:rPr>
      </w:pPr>
    </w:p>
    <w:p w:rsidR="001A4756" w:rsidRPr="00014403" w:rsidRDefault="001A4756" w:rsidP="00724F3E">
      <w:pPr>
        <w:ind w:firstLine="708"/>
        <w:jc w:val="both"/>
        <w:rPr>
          <w:i/>
        </w:rPr>
      </w:pPr>
    </w:p>
    <w:p w:rsidR="00014403" w:rsidRPr="00014403" w:rsidRDefault="004502EA" w:rsidP="00724F3E">
      <w:pPr>
        <w:ind w:firstLine="708"/>
        <w:jc w:val="both"/>
        <w:rPr>
          <w:i/>
        </w:rPr>
      </w:pPr>
      <w:r w:rsidRPr="00014403">
        <w:rPr>
          <w:bCs/>
          <w:i/>
        </w:rPr>
        <w:t>Osnovno obrazovanje djece i mladih</w:t>
      </w:r>
      <w:r w:rsidRPr="00014403">
        <w:rPr>
          <w:bCs/>
        </w:rPr>
        <w:t xml:space="preserve"> zasniva se na </w:t>
      </w:r>
      <w:r w:rsidR="00C64836" w:rsidRPr="00014403">
        <w:rPr>
          <w:bCs/>
        </w:rPr>
        <w:t xml:space="preserve">Zakonu o odgoju i obrazovanju u osnovnoj i srednjoj školi, Zakonu o radu, Zakonu o ustanovama, Pedagoškom standardu, </w:t>
      </w:r>
      <w:r w:rsidR="00D42B56" w:rsidRPr="00014403">
        <w:rPr>
          <w:bCs/>
        </w:rPr>
        <w:t>T</w:t>
      </w:r>
      <w:r w:rsidR="00C64836" w:rsidRPr="00014403">
        <w:rPr>
          <w:bCs/>
        </w:rPr>
        <w:t>emeljn</w:t>
      </w:r>
      <w:r w:rsidR="00D42B56" w:rsidRPr="00014403">
        <w:rPr>
          <w:bCs/>
        </w:rPr>
        <w:t xml:space="preserve">om </w:t>
      </w:r>
      <w:r w:rsidR="00C64836" w:rsidRPr="00014403">
        <w:rPr>
          <w:bCs/>
        </w:rPr>
        <w:t xml:space="preserve"> kolektivn</w:t>
      </w:r>
      <w:r w:rsidR="00D42B56" w:rsidRPr="00014403">
        <w:rPr>
          <w:bCs/>
        </w:rPr>
        <w:t xml:space="preserve">om </w:t>
      </w:r>
      <w:r w:rsidR="00C64836" w:rsidRPr="00014403">
        <w:rPr>
          <w:bCs/>
        </w:rPr>
        <w:t xml:space="preserve"> ugovor</w:t>
      </w:r>
      <w:r w:rsidR="00D42B56" w:rsidRPr="00014403">
        <w:rPr>
          <w:bCs/>
        </w:rPr>
        <w:t>u</w:t>
      </w:r>
      <w:r w:rsidR="00C64836" w:rsidRPr="00014403">
        <w:rPr>
          <w:bCs/>
        </w:rPr>
        <w:t xml:space="preserve"> za zaposlenike u javnim službama, Kolektivnom ugovoru za zaposlenike u osnovnoškolskim ustanovama, Nastavnom planu i programu rada, Pravilnikom o broju učenika u redovnom i kombiniranom razrednom odjeljenju u osnovnoj školi, Pravilnik o obvezama učitelja i stručnih suradnika u osnovnoj školi,</w:t>
      </w:r>
      <w:r w:rsidR="00B02D2F" w:rsidRPr="00014403">
        <w:rPr>
          <w:bCs/>
        </w:rPr>
        <w:t xml:space="preserve"> </w:t>
      </w:r>
      <w:r w:rsidR="00C64836" w:rsidRPr="00014403">
        <w:rPr>
          <w:bCs/>
        </w:rPr>
        <w:t>Zakon</w:t>
      </w:r>
      <w:r w:rsidR="00D42B56" w:rsidRPr="00014403">
        <w:rPr>
          <w:bCs/>
        </w:rPr>
        <w:t>u</w:t>
      </w:r>
      <w:r w:rsidR="00C64836" w:rsidRPr="00014403">
        <w:rPr>
          <w:bCs/>
        </w:rPr>
        <w:t xml:space="preserve"> o knjižnicama</w:t>
      </w:r>
      <w:r w:rsidR="00014403">
        <w:rPr>
          <w:bCs/>
        </w:rPr>
        <w:t>.</w:t>
      </w:r>
    </w:p>
    <w:p w:rsidR="00014403" w:rsidRPr="00014403" w:rsidRDefault="00014403" w:rsidP="00724F3E">
      <w:pPr>
        <w:ind w:firstLine="708"/>
        <w:jc w:val="both"/>
        <w:rPr>
          <w:i/>
        </w:rPr>
      </w:pPr>
    </w:p>
    <w:p w:rsidR="00D42B56" w:rsidRDefault="004502EA" w:rsidP="00724F3E">
      <w:pPr>
        <w:ind w:firstLine="708"/>
        <w:jc w:val="both"/>
        <w:rPr>
          <w:bCs/>
        </w:rPr>
      </w:pPr>
      <w:r w:rsidRPr="00014403">
        <w:rPr>
          <w:bCs/>
          <w:i/>
        </w:rPr>
        <w:t>Prehrana učenika</w:t>
      </w:r>
      <w:r w:rsidR="00C64836" w:rsidRPr="00014403">
        <w:rPr>
          <w:bCs/>
        </w:rPr>
        <w:t xml:space="preserve"> je organizirana temeljem Pedagoškog standarda</w:t>
      </w:r>
      <w:r w:rsidR="00D42B56" w:rsidRPr="00014403">
        <w:rPr>
          <w:bCs/>
        </w:rPr>
        <w:t>,</w:t>
      </w:r>
      <w:r w:rsidR="001A4756">
        <w:rPr>
          <w:bCs/>
        </w:rPr>
        <w:t>Sustavu HACCP-a, te Odluke o cijeni obroka u školskoj kuhinji.</w:t>
      </w:r>
    </w:p>
    <w:p w:rsidR="00014403" w:rsidRPr="00014403" w:rsidRDefault="00014403" w:rsidP="00724F3E">
      <w:pPr>
        <w:ind w:firstLine="708"/>
        <w:jc w:val="both"/>
        <w:rPr>
          <w:i/>
        </w:rPr>
      </w:pPr>
    </w:p>
    <w:p w:rsidR="004502EA" w:rsidRDefault="004502EA" w:rsidP="00724F3E">
      <w:pPr>
        <w:ind w:firstLine="708"/>
        <w:jc w:val="both"/>
        <w:rPr>
          <w:bCs/>
        </w:rPr>
      </w:pPr>
      <w:r w:rsidRPr="00014403">
        <w:rPr>
          <w:bCs/>
          <w:i/>
        </w:rPr>
        <w:t>Organizacija izleta, ekskurzija, terenske nastave, škole u prirodi</w:t>
      </w:r>
      <w:r w:rsidR="00C64836" w:rsidRPr="00014403">
        <w:rPr>
          <w:bCs/>
        </w:rPr>
        <w:t xml:space="preserve"> provodi se u skladu sa Zakonom o odgoju i obrazovanju u osnovnoj i srednjoj školi, Nacionalnog kurikuluma, Školskog kurikuluma, </w:t>
      </w:r>
      <w:r w:rsidR="00801AA5">
        <w:rPr>
          <w:bCs/>
        </w:rPr>
        <w:t xml:space="preserve">Pravilnika o izvođenju izleta, ekskurzija i drugih odgojno-obrazovnih aktivnosti izvan Škole, </w:t>
      </w:r>
      <w:r w:rsidR="00C64836" w:rsidRPr="00014403">
        <w:rPr>
          <w:bCs/>
        </w:rPr>
        <w:t xml:space="preserve">Godišnjeg plana i programa rada te odobrenja roditelja. </w:t>
      </w:r>
    </w:p>
    <w:p w:rsidR="007E742A" w:rsidRDefault="007E742A" w:rsidP="00724F3E">
      <w:pPr>
        <w:ind w:firstLine="708"/>
        <w:jc w:val="both"/>
        <w:rPr>
          <w:i/>
        </w:rPr>
      </w:pPr>
    </w:p>
    <w:p w:rsidR="007E742A" w:rsidRDefault="007E742A" w:rsidP="00724F3E">
      <w:pPr>
        <w:ind w:firstLine="708"/>
        <w:jc w:val="both"/>
        <w:rPr>
          <w:i/>
        </w:rPr>
      </w:pPr>
    </w:p>
    <w:p w:rsidR="0034553C" w:rsidRPr="000304A3" w:rsidRDefault="0034553C" w:rsidP="00724F3E">
      <w:pPr>
        <w:ind w:firstLine="708"/>
        <w:jc w:val="both"/>
        <w:rPr>
          <w:b/>
          <w:i/>
        </w:rPr>
      </w:pPr>
      <w:r w:rsidRPr="000304A3">
        <w:rPr>
          <w:b/>
          <w:i/>
        </w:rPr>
        <w:t>Usklađeni ciljevi, strategija i programi s dokumentima dugoročnog razvoja</w:t>
      </w:r>
    </w:p>
    <w:p w:rsidR="009F48E6" w:rsidRDefault="009F48E6" w:rsidP="00724F3E">
      <w:pPr>
        <w:ind w:firstLine="708"/>
        <w:jc w:val="both"/>
        <w:rPr>
          <w:i/>
        </w:rPr>
      </w:pPr>
    </w:p>
    <w:p w:rsidR="000E637D" w:rsidRDefault="000E637D" w:rsidP="00724F3E">
      <w:pPr>
        <w:ind w:firstLine="708"/>
        <w:jc w:val="both"/>
        <w:rPr>
          <w:i/>
        </w:rPr>
      </w:pPr>
    </w:p>
    <w:p w:rsidR="00B53EC8" w:rsidRDefault="008C2EEA" w:rsidP="002C7995">
      <w:pPr>
        <w:autoSpaceDE w:val="0"/>
        <w:autoSpaceDN w:val="0"/>
        <w:adjustRightInd w:val="0"/>
        <w:ind w:firstLine="708"/>
        <w:jc w:val="both"/>
      </w:pPr>
      <w:r w:rsidRPr="003E54B3">
        <w:rPr>
          <w:rFonts w:ascii="Times-Italic" w:eastAsia="TimesNewRoman,Italic" w:hAnsi="Times-Italic" w:cs="Times-Italic"/>
          <w:iCs/>
        </w:rPr>
        <w:t xml:space="preserve">U Planu razvojnih programa </w:t>
      </w:r>
      <w:r w:rsidR="00D37994">
        <w:rPr>
          <w:rFonts w:ascii="Times-Italic" w:eastAsia="TimesNewRoman,Italic" w:hAnsi="Times-Italic" w:cs="Times-Italic"/>
          <w:iCs/>
        </w:rPr>
        <w:t>iskazali</w:t>
      </w:r>
      <w:r w:rsidR="009F7A15">
        <w:rPr>
          <w:rFonts w:ascii="Times-Italic" w:eastAsia="TimesNewRoman,Italic" w:hAnsi="Times-Italic" w:cs="Times-Italic"/>
          <w:iCs/>
        </w:rPr>
        <w:t xml:space="preserve"> smo</w:t>
      </w:r>
      <w:r w:rsidR="00D37994">
        <w:rPr>
          <w:rFonts w:ascii="Times-Italic" w:eastAsia="TimesNewRoman,Italic" w:hAnsi="Times-Italic" w:cs="Times-Italic"/>
          <w:iCs/>
        </w:rPr>
        <w:t xml:space="preserve"> plan rashoda</w:t>
      </w:r>
      <w:r w:rsidRPr="003E54B3">
        <w:rPr>
          <w:rFonts w:ascii="Times-Italic" w:eastAsia="TimesNewRoman,Italic" w:hAnsi="Times-Italic" w:cs="Times-Italic"/>
          <w:iCs/>
        </w:rPr>
        <w:t xml:space="preserve"> vezan</w:t>
      </w:r>
      <w:r w:rsidR="00D37994">
        <w:rPr>
          <w:rFonts w:ascii="Times-Italic" w:eastAsia="TimesNewRoman,Italic" w:hAnsi="Times-Italic" w:cs="Times-Italic"/>
          <w:iCs/>
        </w:rPr>
        <w:t>o</w:t>
      </w:r>
      <w:r w:rsidRPr="003E54B3">
        <w:rPr>
          <w:rFonts w:ascii="Times-Italic" w:eastAsia="TimesNewRoman,Italic" w:hAnsi="Times-Italic" w:cs="Times-Italic"/>
          <w:iCs/>
        </w:rPr>
        <w:t xml:space="preserve"> uz provo</w:t>
      </w:r>
      <w:r w:rsidRPr="003E54B3">
        <w:rPr>
          <w:rFonts w:ascii="TimesNewRoman,Italic" w:eastAsia="TimesNewRoman,Italic" w:cs="TimesNewRoman,Italic" w:hint="eastAsia"/>
          <w:iCs/>
        </w:rPr>
        <w:t>đ</w:t>
      </w:r>
      <w:r w:rsidRPr="003E54B3">
        <w:rPr>
          <w:rFonts w:ascii="Times-Italic" w:eastAsia="TimesNewRoman,Italic" w:hAnsi="Times-Italic" w:cs="Times-Italic"/>
          <w:iCs/>
        </w:rPr>
        <w:t xml:space="preserve">enje </w:t>
      </w:r>
      <w:r w:rsidR="009F7A15">
        <w:rPr>
          <w:rFonts w:ascii="Times-Italic" w:eastAsia="TimesNewRoman,Italic" w:hAnsi="Times-Italic" w:cs="Times-Italic"/>
          <w:iCs/>
        </w:rPr>
        <w:t>dodatnih ulaganja na građevinskim objektima u sklopu projekta energetske obnove zgrade matične škole</w:t>
      </w:r>
      <w:r w:rsidR="001A32AB">
        <w:rPr>
          <w:rFonts w:ascii="Times-Italic" w:eastAsia="TimesNewRoman,Italic" w:hAnsi="Times-Italic" w:cs="Times-Italic"/>
          <w:iCs/>
        </w:rPr>
        <w:t>,</w:t>
      </w:r>
      <w:r w:rsidR="009F7A15">
        <w:rPr>
          <w:rFonts w:ascii="Times-Italic" w:eastAsia="TimesNewRoman,Italic" w:hAnsi="Times-Italic" w:cs="Times-Italic"/>
          <w:iCs/>
        </w:rPr>
        <w:t xml:space="preserve"> a financirane iz državnog proračuna temeljem prijenosa EU sredstava, te Fonda za zaštitu okoliša te</w:t>
      </w:r>
      <w:r w:rsidR="00A00396">
        <w:rPr>
          <w:rFonts w:ascii="Times-Italic" w:eastAsia="TimesNewRoman,Italic" w:hAnsi="Times-Italic" w:cs="Times-Italic"/>
          <w:iCs/>
        </w:rPr>
        <w:t xml:space="preserve"> ćemo </w:t>
      </w:r>
      <w:r w:rsidR="001A32AB">
        <w:rPr>
          <w:rFonts w:ascii="Times-Italic" w:eastAsia="TimesNewRoman,Italic" w:hAnsi="Times-Italic" w:cs="Times-Italic"/>
          <w:iCs/>
        </w:rPr>
        <w:t xml:space="preserve">najveći dio </w:t>
      </w:r>
      <w:r w:rsidR="00A00396">
        <w:rPr>
          <w:rFonts w:ascii="Times-Italic" w:eastAsia="TimesNewRoman,Italic" w:hAnsi="Times-Italic" w:cs="Times-Italic"/>
          <w:iCs/>
        </w:rPr>
        <w:t>aktivnosti usmjeriti na ovaj projekt,</w:t>
      </w:r>
      <w:r w:rsidR="002C7995">
        <w:rPr>
          <w:rFonts w:ascii="Times-Italic" w:eastAsia="TimesNewRoman,Italic" w:hAnsi="Times-Italic" w:cs="Times-Italic"/>
          <w:iCs/>
        </w:rPr>
        <w:t xml:space="preserve"> koji je započeo već ove godine izradom projektne dokumentacije, temeljem koje smo ušli u drugu fazu Projekta.</w:t>
      </w:r>
      <w:r w:rsidR="00A00396">
        <w:rPr>
          <w:rFonts w:ascii="Times-Italic" w:eastAsia="TimesNewRoman,Italic" w:hAnsi="Times-Italic" w:cs="Times-Italic"/>
          <w:iCs/>
        </w:rPr>
        <w:t xml:space="preserve"> </w:t>
      </w:r>
    </w:p>
    <w:p w:rsidR="009F7A15" w:rsidRDefault="009F7A15" w:rsidP="00724F3E">
      <w:pPr>
        <w:ind w:firstLine="708"/>
        <w:jc w:val="both"/>
        <w:rPr>
          <w:b/>
          <w:i/>
        </w:rPr>
      </w:pPr>
    </w:p>
    <w:p w:rsidR="0034553C" w:rsidRDefault="0034553C" w:rsidP="00724F3E">
      <w:pPr>
        <w:ind w:firstLine="708"/>
        <w:jc w:val="both"/>
        <w:rPr>
          <w:b/>
          <w:i/>
        </w:rPr>
      </w:pPr>
      <w:r w:rsidRPr="000304A3">
        <w:rPr>
          <w:b/>
          <w:i/>
        </w:rPr>
        <w:t>Ishodište i pokazatelji na kojima se zasnivaju izračuni i ocjene potrebnih sredstava za provođenje programa</w:t>
      </w:r>
    </w:p>
    <w:p w:rsidR="005F3349" w:rsidRDefault="002000C0" w:rsidP="00724F3E">
      <w:pPr>
        <w:ind w:firstLine="708"/>
        <w:jc w:val="both"/>
      </w:pPr>
      <w:r>
        <w:t>Financijski plan</w:t>
      </w:r>
      <w:r w:rsidR="005F3349">
        <w:t xml:space="preserve"> za 201</w:t>
      </w:r>
      <w:r w:rsidR="00ED7A03">
        <w:t>9</w:t>
      </w:r>
      <w:r w:rsidR="005F3349">
        <w:t>.g. sastoji se od:</w:t>
      </w:r>
    </w:p>
    <w:p w:rsidR="003023C4" w:rsidRDefault="003023C4" w:rsidP="003023C4">
      <w:pPr>
        <w:ind w:firstLine="708"/>
        <w:jc w:val="both"/>
      </w:pPr>
    </w:p>
    <w:p w:rsidR="003023C4" w:rsidRDefault="003023C4" w:rsidP="003023C4">
      <w:pPr>
        <w:numPr>
          <w:ilvl w:val="0"/>
          <w:numId w:val="3"/>
        </w:numPr>
        <w:jc w:val="both"/>
      </w:pPr>
      <w:r>
        <w:t>Prihoda iz državnog proračuna</w:t>
      </w:r>
      <w:r>
        <w:tab/>
      </w:r>
      <w:r>
        <w:tab/>
      </w:r>
      <w:r>
        <w:tab/>
      </w:r>
      <w:r w:rsidR="002C7995">
        <w:t>4.1</w:t>
      </w:r>
      <w:r w:rsidR="00613236">
        <w:t>98</w:t>
      </w:r>
      <w:r w:rsidR="002C7995">
        <w:t>.</w:t>
      </w:r>
      <w:r w:rsidR="00613236">
        <w:t>9</w:t>
      </w:r>
      <w:r w:rsidR="002C7995">
        <w:t>00 kn</w:t>
      </w:r>
    </w:p>
    <w:p w:rsidR="003023C4" w:rsidRDefault="003023C4" w:rsidP="003023C4">
      <w:pPr>
        <w:numPr>
          <w:ilvl w:val="0"/>
          <w:numId w:val="3"/>
        </w:numPr>
        <w:jc w:val="both"/>
      </w:pPr>
      <w:r>
        <w:t xml:space="preserve">Prihoda iz </w:t>
      </w:r>
      <w:r w:rsidR="005F17E4">
        <w:t>županijskog</w:t>
      </w:r>
      <w:r>
        <w:t xml:space="preserve"> proračuna</w:t>
      </w:r>
      <w:r>
        <w:tab/>
      </w:r>
      <w:r>
        <w:tab/>
      </w:r>
      <w:r>
        <w:tab/>
        <w:t xml:space="preserve">   </w:t>
      </w:r>
      <w:r w:rsidR="002C7995">
        <w:t>38</w:t>
      </w:r>
      <w:r w:rsidR="00613236">
        <w:t>4</w:t>
      </w:r>
      <w:r w:rsidR="00BC5700">
        <w:t>.</w:t>
      </w:r>
      <w:r w:rsidR="00613236">
        <w:t>5</w:t>
      </w:r>
      <w:r w:rsidR="00BC5700">
        <w:t>0</w:t>
      </w:r>
      <w:r w:rsidR="00613236">
        <w:t>7</w:t>
      </w:r>
      <w:r>
        <w:t xml:space="preserve"> kn</w:t>
      </w:r>
    </w:p>
    <w:p w:rsidR="001F6E34" w:rsidRDefault="001F6E34" w:rsidP="003023C4">
      <w:pPr>
        <w:numPr>
          <w:ilvl w:val="0"/>
          <w:numId w:val="3"/>
        </w:numPr>
        <w:jc w:val="both"/>
      </w:pPr>
      <w:r>
        <w:t xml:space="preserve">Pomoći iz općinskog proračuna       </w:t>
      </w:r>
      <w:r w:rsidR="002C7995">
        <w:t xml:space="preserve">                             </w:t>
      </w:r>
      <w:r w:rsidR="00613236">
        <w:t>5</w:t>
      </w:r>
      <w:r w:rsidR="002C7995">
        <w:t>0</w:t>
      </w:r>
      <w:r>
        <w:t>.000 kn</w:t>
      </w:r>
    </w:p>
    <w:p w:rsidR="002C7995" w:rsidRDefault="002C7995" w:rsidP="003023C4">
      <w:pPr>
        <w:numPr>
          <w:ilvl w:val="0"/>
          <w:numId w:val="3"/>
        </w:numPr>
        <w:jc w:val="both"/>
      </w:pPr>
      <w:r>
        <w:t xml:space="preserve">Pomoći iz državnog proračuna temeljem </w:t>
      </w:r>
    </w:p>
    <w:p w:rsidR="002C7995" w:rsidRDefault="002C7995" w:rsidP="002C7995">
      <w:pPr>
        <w:ind w:left="1428"/>
        <w:jc w:val="both"/>
      </w:pPr>
      <w:r>
        <w:t>prijenosa EU sredstava</w:t>
      </w:r>
      <w:r>
        <w:tab/>
      </w:r>
      <w:r>
        <w:tab/>
      </w:r>
      <w:r>
        <w:tab/>
      </w:r>
      <w:r>
        <w:tab/>
      </w:r>
      <w:r w:rsidR="00613236">
        <w:t xml:space="preserve">   890.</w:t>
      </w:r>
      <w:r>
        <w:t>000 kn</w:t>
      </w:r>
    </w:p>
    <w:p w:rsidR="002C7995" w:rsidRDefault="002C7995" w:rsidP="001565A5">
      <w:pPr>
        <w:ind w:left="1428"/>
        <w:jc w:val="both"/>
      </w:pPr>
      <w:r>
        <w:tab/>
      </w:r>
    </w:p>
    <w:p w:rsidR="003023C4" w:rsidRPr="000D531F" w:rsidRDefault="003023C4" w:rsidP="003023C4">
      <w:pPr>
        <w:numPr>
          <w:ilvl w:val="0"/>
          <w:numId w:val="3"/>
        </w:numPr>
        <w:jc w:val="both"/>
      </w:pPr>
      <w:r w:rsidRPr="000D531F">
        <w:t>Prihoda za posebne namjene</w:t>
      </w:r>
      <w:r w:rsidRPr="000D531F">
        <w:tab/>
      </w:r>
      <w:r w:rsidRPr="000D531F">
        <w:tab/>
      </w:r>
      <w:r w:rsidRPr="000D531F">
        <w:tab/>
      </w:r>
      <w:r w:rsidRPr="000D531F">
        <w:tab/>
        <w:t xml:space="preserve">     </w:t>
      </w:r>
      <w:r w:rsidR="002C7995" w:rsidRPr="000D531F">
        <w:t>90.</w:t>
      </w:r>
      <w:r w:rsidR="00EB5EC2" w:rsidRPr="000D531F">
        <w:t>000</w:t>
      </w:r>
      <w:r w:rsidRPr="000D531F">
        <w:t xml:space="preserve"> kn</w:t>
      </w:r>
    </w:p>
    <w:p w:rsidR="000D531F" w:rsidRDefault="000D531F" w:rsidP="000D531F">
      <w:pPr>
        <w:pStyle w:val="Odlomakpopisa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od čega tekući prijenosi između </w:t>
      </w:r>
      <w:proofErr w:type="spellStart"/>
      <w:r>
        <w:rPr>
          <w:u w:val="single"/>
        </w:rPr>
        <w:t>prorač</w:t>
      </w:r>
      <w:proofErr w:type="spellEnd"/>
      <w:r>
        <w:rPr>
          <w:u w:val="single"/>
        </w:rPr>
        <w:t xml:space="preserve">. korisnika   </w:t>
      </w:r>
      <w:bookmarkStart w:id="0" w:name="_GoBack"/>
      <w:bookmarkEnd w:id="0"/>
      <w:r>
        <w:rPr>
          <w:u w:val="single"/>
        </w:rPr>
        <w:t xml:space="preserve">    12.000 kn</w:t>
      </w:r>
    </w:p>
    <w:p w:rsidR="003023C4" w:rsidRDefault="003023C4" w:rsidP="001565A5">
      <w:pPr>
        <w:ind w:left="1068" w:firstLine="348"/>
        <w:jc w:val="both"/>
      </w:pPr>
      <w:r w:rsidRPr="00465138">
        <w:t>Ukupno prihodi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1565A5">
        <w:t>5.613.407</w:t>
      </w:r>
      <w:r>
        <w:t xml:space="preserve"> kn</w:t>
      </w:r>
    </w:p>
    <w:p w:rsidR="00266475" w:rsidRDefault="00266475" w:rsidP="003023C4">
      <w:pPr>
        <w:ind w:left="1068" w:firstLine="348"/>
        <w:jc w:val="both"/>
      </w:pPr>
    </w:p>
    <w:p w:rsidR="00A37F7E" w:rsidRPr="00465138" w:rsidRDefault="00A37F7E" w:rsidP="003023C4">
      <w:pPr>
        <w:ind w:left="1068" w:firstLine="348"/>
        <w:jc w:val="both"/>
      </w:pPr>
    </w:p>
    <w:p w:rsidR="003023C4" w:rsidRDefault="003023C4" w:rsidP="003023C4">
      <w:pPr>
        <w:numPr>
          <w:ilvl w:val="0"/>
          <w:numId w:val="3"/>
        </w:numPr>
        <w:jc w:val="both"/>
      </w:pPr>
      <w:r>
        <w:t>Rashoda za zaposlene</w:t>
      </w:r>
      <w:r>
        <w:tab/>
      </w:r>
      <w:r>
        <w:tab/>
      </w:r>
      <w:r>
        <w:tab/>
      </w:r>
      <w:r>
        <w:tab/>
      </w:r>
      <w:r>
        <w:tab/>
      </w:r>
      <w:r w:rsidR="001565A5">
        <w:t>4.054.600</w:t>
      </w:r>
      <w:r>
        <w:t xml:space="preserve"> kn</w:t>
      </w:r>
    </w:p>
    <w:p w:rsidR="003023C4" w:rsidRDefault="003023C4" w:rsidP="003023C4">
      <w:pPr>
        <w:numPr>
          <w:ilvl w:val="0"/>
          <w:numId w:val="3"/>
        </w:numPr>
        <w:jc w:val="both"/>
      </w:pPr>
      <w:r>
        <w:t>Materijalnih i financijskih rashoda</w:t>
      </w:r>
      <w:r>
        <w:tab/>
      </w:r>
      <w:r>
        <w:tab/>
      </w:r>
      <w:r>
        <w:tab/>
        <w:t xml:space="preserve">    </w:t>
      </w:r>
      <w:r w:rsidR="001565A5">
        <w:t>668.807</w:t>
      </w:r>
      <w:r>
        <w:t xml:space="preserve"> kn</w:t>
      </w:r>
    </w:p>
    <w:p w:rsidR="007B3044" w:rsidRPr="002C7995" w:rsidRDefault="007B3044" w:rsidP="003023C4">
      <w:pPr>
        <w:numPr>
          <w:ilvl w:val="0"/>
          <w:numId w:val="3"/>
        </w:numPr>
        <w:jc w:val="both"/>
        <w:rPr>
          <w:u w:val="single"/>
        </w:rPr>
      </w:pPr>
      <w:r w:rsidRPr="002C7995">
        <w:rPr>
          <w:u w:val="single"/>
        </w:rPr>
        <w:t>Rashoda za nef</w:t>
      </w:r>
      <w:r w:rsidR="00655325" w:rsidRPr="002C7995">
        <w:rPr>
          <w:u w:val="single"/>
        </w:rPr>
        <w:t>inancijsku imovinu</w:t>
      </w:r>
      <w:r w:rsidR="00655325" w:rsidRPr="002C7995">
        <w:rPr>
          <w:u w:val="single"/>
        </w:rPr>
        <w:tab/>
      </w:r>
      <w:r w:rsidR="00655325" w:rsidRPr="002C7995">
        <w:rPr>
          <w:u w:val="single"/>
        </w:rPr>
        <w:tab/>
      </w:r>
      <w:r w:rsidR="00655325" w:rsidRPr="002C7995">
        <w:rPr>
          <w:u w:val="single"/>
        </w:rPr>
        <w:tab/>
      </w:r>
      <w:r w:rsidR="001565A5">
        <w:rPr>
          <w:u w:val="single"/>
        </w:rPr>
        <w:t xml:space="preserve">   </w:t>
      </w:r>
      <w:r w:rsidR="00655325" w:rsidRPr="002C7995">
        <w:rPr>
          <w:u w:val="single"/>
        </w:rPr>
        <w:t xml:space="preserve"> </w:t>
      </w:r>
      <w:r w:rsidR="001565A5">
        <w:rPr>
          <w:u w:val="single"/>
        </w:rPr>
        <w:t xml:space="preserve">890.000 </w:t>
      </w:r>
      <w:r w:rsidRPr="002C7995">
        <w:rPr>
          <w:u w:val="single"/>
        </w:rPr>
        <w:t>kn</w:t>
      </w:r>
      <w:r w:rsidRPr="002C7995">
        <w:rPr>
          <w:u w:val="single"/>
        </w:rPr>
        <w:tab/>
      </w:r>
    </w:p>
    <w:p w:rsidR="003023C4" w:rsidRDefault="003023C4" w:rsidP="003023C4">
      <w:pPr>
        <w:ind w:left="1416"/>
        <w:jc w:val="both"/>
      </w:pPr>
      <w:r>
        <w:t>Ukupno rashodi:</w:t>
      </w:r>
      <w:r>
        <w:tab/>
      </w:r>
      <w:r>
        <w:tab/>
      </w:r>
      <w:r>
        <w:tab/>
      </w:r>
      <w:r>
        <w:tab/>
      </w:r>
      <w:r>
        <w:tab/>
      </w:r>
      <w:r w:rsidR="001565A5">
        <w:t>5.613.407</w:t>
      </w:r>
      <w:r w:rsidR="000F22B1">
        <w:t xml:space="preserve"> kn</w:t>
      </w:r>
    </w:p>
    <w:p w:rsidR="00DE2146" w:rsidRDefault="00DE2146" w:rsidP="00724F3E">
      <w:pPr>
        <w:jc w:val="both"/>
      </w:pPr>
    </w:p>
    <w:p w:rsidR="00266475" w:rsidRDefault="00266475" w:rsidP="00724F3E">
      <w:pPr>
        <w:jc w:val="both"/>
      </w:pPr>
    </w:p>
    <w:p w:rsidR="00A37F7E" w:rsidRDefault="00A37F7E" w:rsidP="00724F3E">
      <w:pPr>
        <w:jc w:val="both"/>
      </w:pPr>
    </w:p>
    <w:p w:rsidR="00E3361C" w:rsidRDefault="00DE2146" w:rsidP="00724F3E">
      <w:pPr>
        <w:ind w:firstLine="708"/>
        <w:jc w:val="both"/>
      </w:pPr>
      <w:r>
        <w:t xml:space="preserve">Navedeni </w:t>
      </w:r>
      <w:r w:rsidR="002000C0">
        <w:t xml:space="preserve"> </w:t>
      </w:r>
      <w:r w:rsidR="00BE6634">
        <w:t>rashod</w:t>
      </w:r>
      <w:r>
        <w:t>i</w:t>
      </w:r>
      <w:r w:rsidR="00BE6634">
        <w:t xml:space="preserve"> i prihod</w:t>
      </w:r>
      <w:r>
        <w:t>i</w:t>
      </w:r>
      <w:r w:rsidR="00BE6634">
        <w:t xml:space="preserve"> </w:t>
      </w:r>
      <w:r w:rsidR="00BC3201">
        <w:t xml:space="preserve">planirani </w:t>
      </w:r>
      <w:r>
        <w:t xml:space="preserve">su </w:t>
      </w:r>
      <w:r w:rsidR="00BC3201">
        <w:t>p</w:t>
      </w:r>
      <w:r>
        <w:t>rema</w:t>
      </w:r>
      <w:r w:rsidR="00BC3201">
        <w:t xml:space="preserve"> Uputama za izradu proračuna jedinica lokalne i područne samouprave za razdoblje 201</w:t>
      </w:r>
      <w:r w:rsidR="001565A5">
        <w:t>9</w:t>
      </w:r>
      <w:r w:rsidR="006072C6">
        <w:t>.</w:t>
      </w:r>
      <w:r w:rsidR="00BC3201">
        <w:t>-</w:t>
      </w:r>
      <w:r w:rsidR="006072C6">
        <w:t>202</w:t>
      </w:r>
      <w:r w:rsidR="001565A5">
        <w:t>1</w:t>
      </w:r>
      <w:r w:rsidR="00BC3201">
        <w:t>.</w:t>
      </w:r>
      <w:r w:rsidR="00B53EC8">
        <w:t xml:space="preserve"> </w:t>
      </w:r>
      <w:r w:rsidR="00BC3201">
        <w:t>g</w:t>
      </w:r>
      <w:r w:rsidR="001F6E34">
        <w:t>odine i danim limitima</w:t>
      </w:r>
      <w:r w:rsidR="009F08C0">
        <w:t xml:space="preserve">, a za </w:t>
      </w:r>
      <w:r w:rsidR="00E860EB">
        <w:t xml:space="preserve">prihode za posebne namjene, </w:t>
      </w:r>
      <w:r w:rsidR="009F08C0">
        <w:t xml:space="preserve">korišteni su podaci prijašnjih godina </w:t>
      </w:r>
      <w:r w:rsidR="007B3044">
        <w:t>o broju</w:t>
      </w:r>
      <w:r w:rsidR="00EB5EC2">
        <w:t xml:space="preserve"> učenika koji koriste školsku kuhinju.</w:t>
      </w:r>
    </w:p>
    <w:p w:rsidR="001565A5" w:rsidRDefault="001565A5" w:rsidP="00724F3E">
      <w:pPr>
        <w:ind w:firstLine="708"/>
        <w:jc w:val="both"/>
      </w:pPr>
      <w:r>
        <w:t>Pomoći iz državnog proračuna planirane su na temelju procjene nedovršenih i u 2018. godini  time i nenaplaćenih radova vezanih uz energetsku obnovu zgrade koja je u tijeku.</w:t>
      </w:r>
    </w:p>
    <w:p w:rsidR="002C7995" w:rsidRDefault="002C7995" w:rsidP="00724F3E">
      <w:pPr>
        <w:ind w:firstLine="708"/>
        <w:jc w:val="both"/>
      </w:pPr>
    </w:p>
    <w:p w:rsidR="0035727B" w:rsidRDefault="0035727B" w:rsidP="00724F3E">
      <w:pPr>
        <w:ind w:firstLine="708"/>
        <w:jc w:val="both"/>
      </w:pPr>
      <w:r>
        <w:t xml:space="preserve">Izračun rashoda za zaposlene rađen je </w:t>
      </w:r>
      <w:r w:rsidR="007B3044">
        <w:t>na</w:t>
      </w:r>
      <w:r>
        <w:t xml:space="preserve"> osnovi sadašnjeg broja zaposlenih (</w:t>
      </w:r>
      <w:r w:rsidR="007A0427">
        <w:t>3</w:t>
      </w:r>
      <w:r w:rsidR="00151AE8">
        <w:t>7</w:t>
      </w:r>
      <w:r w:rsidR="007A0427">
        <w:t xml:space="preserve"> d</w:t>
      </w:r>
      <w:r>
        <w:t>jelatnika).</w:t>
      </w:r>
      <w:r w:rsidR="00CA2BB7">
        <w:t xml:space="preserve"> Rashodi za zaposlene se financiraju iz državnog proračuna.</w:t>
      </w:r>
    </w:p>
    <w:p w:rsidR="000E637D" w:rsidRDefault="000E637D" w:rsidP="00724F3E">
      <w:pPr>
        <w:ind w:firstLine="708"/>
        <w:jc w:val="both"/>
      </w:pPr>
    </w:p>
    <w:p w:rsidR="009A14C9" w:rsidRDefault="009A14C9" w:rsidP="00724F3E">
      <w:pPr>
        <w:ind w:firstLine="708"/>
        <w:jc w:val="both"/>
        <w:rPr>
          <w:i/>
        </w:rPr>
      </w:pPr>
    </w:p>
    <w:p w:rsidR="0035727B" w:rsidRPr="000304A3" w:rsidRDefault="00576885" w:rsidP="00724F3E">
      <w:pPr>
        <w:ind w:firstLine="708"/>
        <w:jc w:val="both"/>
        <w:rPr>
          <w:b/>
          <w:i/>
        </w:rPr>
      </w:pPr>
      <w:r w:rsidRPr="000304A3">
        <w:rPr>
          <w:b/>
          <w:i/>
        </w:rPr>
        <w:t xml:space="preserve">Izvještaj o postignutim </w:t>
      </w:r>
      <w:r w:rsidR="0034553C" w:rsidRPr="000304A3">
        <w:rPr>
          <w:b/>
          <w:i/>
        </w:rPr>
        <w:t xml:space="preserve">ciljevima i </w:t>
      </w:r>
      <w:r w:rsidRPr="000304A3">
        <w:rPr>
          <w:b/>
          <w:i/>
        </w:rPr>
        <w:t xml:space="preserve">rezultatima </w:t>
      </w:r>
      <w:r w:rsidR="0034553C" w:rsidRPr="000304A3">
        <w:rPr>
          <w:b/>
          <w:i/>
        </w:rPr>
        <w:t xml:space="preserve">programa temeljenim na pokazateljima uspješnosti iz nadležnosti proračunskog korisnika u </w:t>
      </w:r>
      <w:r w:rsidRPr="000304A3">
        <w:rPr>
          <w:b/>
          <w:i/>
        </w:rPr>
        <w:t>prethodn</w:t>
      </w:r>
      <w:r w:rsidR="0034553C" w:rsidRPr="000304A3">
        <w:rPr>
          <w:b/>
          <w:i/>
        </w:rPr>
        <w:t>oj</w:t>
      </w:r>
      <w:r w:rsidRPr="000304A3">
        <w:rPr>
          <w:b/>
          <w:i/>
        </w:rPr>
        <w:t xml:space="preserve"> godin</w:t>
      </w:r>
      <w:r w:rsidR="0034553C" w:rsidRPr="000304A3">
        <w:rPr>
          <w:b/>
          <w:i/>
        </w:rPr>
        <w:t>i</w:t>
      </w:r>
    </w:p>
    <w:p w:rsidR="00151AE8" w:rsidRPr="002C28BC" w:rsidRDefault="00151AE8" w:rsidP="002C28BC">
      <w:pPr>
        <w:rPr>
          <w:rFonts w:ascii="Arial" w:hAnsi="Arial" w:cs="Arial"/>
          <w:sz w:val="28"/>
          <w:szCs w:val="28"/>
        </w:rPr>
      </w:pPr>
    </w:p>
    <w:p w:rsidR="00DB00CD" w:rsidRDefault="00DB00CD" w:rsidP="00724F3E">
      <w:pPr>
        <w:ind w:firstLine="708"/>
        <w:jc w:val="both"/>
        <w:rPr>
          <w:rFonts w:ascii="Times-Italic" w:eastAsia="TimesNewRoman,Italic" w:hAnsi="Times-Italic" w:cs="Times-Italic"/>
          <w:iCs/>
        </w:rPr>
      </w:pPr>
      <w:r>
        <w:rPr>
          <w:rFonts w:ascii="Times-Italic" w:eastAsia="TimesNewRoman,Italic" w:hAnsi="Times-Italic" w:cs="Times-Italic"/>
          <w:iCs/>
        </w:rPr>
        <w:t>Školsku godinu 2017./2018. uspješno je završilo 180</w:t>
      </w:r>
      <w:r w:rsidR="00C302E6">
        <w:rPr>
          <w:rFonts w:ascii="Times-Italic" w:eastAsia="TimesNewRoman,Italic" w:hAnsi="Times-Italic" w:cs="Times-Italic"/>
          <w:iCs/>
        </w:rPr>
        <w:t xml:space="preserve"> učenika. N</w:t>
      </w:r>
      <w:r w:rsidR="00C302E6" w:rsidRPr="00C302E6">
        <w:rPr>
          <w:rFonts w:ascii="Times-Italic" w:eastAsia="TimesNewRoman,Italic" w:hAnsi="Times-Italic" w:cs="Times-Italic"/>
          <w:iCs/>
        </w:rPr>
        <w:t>ekoliko</w:t>
      </w:r>
      <w:r w:rsidR="00C302E6">
        <w:rPr>
          <w:rFonts w:ascii="Times-Italic" w:eastAsia="TimesNewRoman,Italic" w:hAnsi="Times-Italic" w:cs="Times-Italic"/>
          <w:iCs/>
        </w:rPr>
        <w:t xml:space="preserve"> </w:t>
      </w:r>
      <w:r w:rsidR="00C302E6" w:rsidRPr="00C302E6">
        <w:rPr>
          <w:rFonts w:ascii="Times-Italic" w:eastAsia="TimesNewRoman,Italic" w:hAnsi="Times-Italic" w:cs="Times-Italic"/>
          <w:iCs/>
        </w:rPr>
        <w:t>naših učenika od petog do osmog razreda sudjelovalo je na župan</w:t>
      </w:r>
      <w:r w:rsidR="00C302E6">
        <w:rPr>
          <w:rFonts w:ascii="Times-Italic" w:eastAsia="TimesNewRoman,Italic" w:hAnsi="Times-Italic" w:cs="Times-Italic"/>
          <w:iCs/>
        </w:rPr>
        <w:t xml:space="preserve">ijskim natjecanjima </w:t>
      </w:r>
      <w:r w:rsidR="00C302E6" w:rsidRPr="00C302E6">
        <w:rPr>
          <w:rFonts w:ascii="Times-Italic" w:eastAsia="TimesNewRoman,Italic" w:hAnsi="Times-Italic" w:cs="Times-Italic"/>
          <w:iCs/>
        </w:rPr>
        <w:t xml:space="preserve">na </w:t>
      </w:r>
      <w:r w:rsidR="00C302E6">
        <w:rPr>
          <w:rFonts w:ascii="Times-Italic" w:eastAsia="TimesNewRoman,Italic" w:hAnsi="Times-Italic" w:cs="Times-Italic"/>
          <w:iCs/>
        </w:rPr>
        <w:t>kojima s</w:t>
      </w:r>
      <w:r>
        <w:rPr>
          <w:rFonts w:ascii="Times-Italic" w:eastAsia="TimesNewRoman,Italic" w:hAnsi="Times-Italic" w:cs="Times-Italic"/>
          <w:iCs/>
        </w:rPr>
        <w:t>u postizali odlične rezultate (1.</w:t>
      </w:r>
      <w:r w:rsidR="00C302E6">
        <w:rPr>
          <w:rFonts w:ascii="Times-Italic" w:eastAsia="TimesNewRoman,Italic" w:hAnsi="Times-Italic" w:cs="Times-Italic"/>
          <w:iCs/>
        </w:rPr>
        <w:t xml:space="preserve"> mjesto na Županijskom</w:t>
      </w:r>
      <w:r>
        <w:rPr>
          <w:rFonts w:ascii="Times-Italic" w:eastAsia="TimesNewRoman,Italic" w:hAnsi="Times-Italic" w:cs="Times-Italic"/>
          <w:iCs/>
        </w:rPr>
        <w:t xml:space="preserve"> natjecanju iz engleskog jezika, 1</w:t>
      </w:r>
      <w:r w:rsidR="00C302E6">
        <w:rPr>
          <w:rFonts w:ascii="Times-Italic" w:eastAsia="TimesNewRoman,Italic" w:hAnsi="Times-Italic" w:cs="Times-Italic"/>
          <w:iCs/>
        </w:rPr>
        <w:t>. mjest</w:t>
      </w:r>
      <w:r>
        <w:rPr>
          <w:rFonts w:ascii="Times-Italic" w:eastAsia="TimesNewRoman,Italic" w:hAnsi="Times-Italic" w:cs="Times-Italic"/>
          <w:iCs/>
        </w:rPr>
        <w:t>o na Županijskom natjecanju iz fizike, 1. mjesto na Županijskom natjecanju iz tehničke kulture</w:t>
      </w:r>
      <w:r w:rsidR="00C302E6">
        <w:rPr>
          <w:rFonts w:ascii="Times-Italic" w:eastAsia="TimesNewRoman,Italic" w:hAnsi="Times-Italic" w:cs="Times-Italic"/>
          <w:iCs/>
        </w:rPr>
        <w:t>).</w:t>
      </w:r>
      <w:r w:rsidR="009F3FFD">
        <w:rPr>
          <w:rFonts w:ascii="Times-Italic" w:eastAsia="TimesNewRoman,Italic" w:hAnsi="Times-Italic" w:cs="Times-Italic"/>
          <w:iCs/>
        </w:rPr>
        <w:t xml:space="preserve"> Uspješni su bili i na sportskim </w:t>
      </w:r>
      <w:r>
        <w:rPr>
          <w:rFonts w:ascii="Times-Italic" w:eastAsia="TimesNewRoman,Italic" w:hAnsi="Times-Italic" w:cs="Times-Italic"/>
          <w:iCs/>
        </w:rPr>
        <w:t>natjecanjima u atletici gdje su osvojena 2 prva mjesta na županijskoj razini te osvojeno 10. mjesto na Državno natjecanju u krosu.</w:t>
      </w:r>
    </w:p>
    <w:p w:rsidR="00DB00CD" w:rsidRDefault="00DB00CD" w:rsidP="00724F3E">
      <w:pPr>
        <w:ind w:firstLine="708"/>
        <w:jc w:val="both"/>
        <w:rPr>
          <w:rFonts w:ascii="Times-Italic" w:eastAsia="TimesNewRoman,Italic" w:hAnsi="Times-Italic" w:cs="Times-Italic"/>
          <w:iCs/>
        </w:rPr>
      </w:pPr>
    </w:p>
    <w:p w:rsidR="00B56A65" w:rsidRDefault="00B56A65" w:rsidP="00B56A65">
      <w:pPr>
        <w:autoSpaceDE w:val="0"/>
        <w:autoSpaceDN w:val="0"/>
        <w:adjustRightInd w:val="0"/>
        <w:ind w:firstLine="708"/>
        <w:jc w:val="both"/>
      </w:pPr>
      <w:r>
        <w:rPr>
          <w:rFonts w:ascii="Times-Italic" w:eastAsia="TimesNewRoman,Italic" w:hAnsi="Times-Italic" w:cs="Times-Italic"/>
          <w:iCs/>
        </w:rPr>
        <w:t>U Planu razvojnih programa</w:t>
      </w:r>
      <w:r w:rsidR="0003169A">
        <w:rPr>
          <w:rFonts w:ascii="Times-Italic" w:eastAsia="TimesNewRoman,Italic" w:hAnsi="Times-Italic" w:cs="Times-Italic"/>
          <w:iCs/>
        </w:rPr>
        <w:t xml:space="preserve"> </w:t>
      </w:r>
      <w:r>
        <w:rPr>
          <w:rFonts w:ascii="Times-Italic" w:eastAsia="TimesNewRoman,Italic" w:hAnsi="Times-Italic" w:cs="Times-Italic"/>
          <w:iCs/>
        </w:rPr>
        <w:t>za 2018. iskazali smo plan rashoda vezano uz provo</w:t>
      </w:r>
      <w:r>
        <w:rPr>
          <w:rFonts w:ascii="TimesNewRoman,Italic" w:eastAsia="TimesNewRoman,Italic" w:cs="TimesNewRoman,Italic"/>
          <w:iCs/>
        </w:rPr>
        <w:t>đ</w:t>
      </w:r>
      <w:r>
        <w:rPr>
          <w:rFonts w:ascii="Times-Italic" w:eastAsia="TimesNewRoman,Italic" w:hAnsi="Times-Italic" w:cs="Times-Italic"/>
          <w:iCs/>
        </w:rPr>
        <w:t xml:space="preserve">enje dodatnih ulaganja na građevinskim objektima u sklopu projekta energetske obnove zgrade matične škole, a financirane iz državnog proračuna temeljem prijenosa EU sredstava, te Fonda za zaštitu okoliša te ćemo najveći dio aktivnosti bio i usmjeren na ovaj projekt, koji je započeo već prošle  godine izradom projektne dokumentacije, temeljem koje smo ušli u drugu fazu Projekta koji je još u tijeku i prema našim procjenama proteći će se i na prvi dio 2019. godine.  Također od planiranog izvršena je rekonstrukcija krovišta matične škole, ako i </w:t>
      </w:r>
      <w:r w:rsidR="00423B9D">
        <w:rPr>
          <w:rFonts w:ascii="Times-Italic" w:eastAsia="TimesNewRoman,Italic" w:hAnsi="Times-Italic" w:cs="Times-Italic"/>
          <w:iCs/>
        </w:rPr>
        <w:t>popravak sportskih igrališta matične škole.</w:t>
      </w:r>
    </w:p>
    <w:p w:rsidR="00B56A65" w:rsidRDefault="00B56A65" w:rsidP="00B56A65">
      <w:pPr>
        <w:ind w:firstLine="708"/>
        <w:jc w:val="both"/>
      </w:pPr>
    </w:p>
    <w:p w:rsidR="00691F52" w:rsidRDefault="00691F52" w:rsidP="00724F3E">
      <w:pPr>
        <w:jc w:val="both"/>
      </w:pPr>
    </w:p>
    <w:p w:rsidR="00261D55" w:rsidRPr="00366B83" w:rsidRDefault="00261D55" w:rsidP="00724F3E">
      <w:pPr>
        <w:jc w:val="both"/>
      </w:pPr>
      <w:r w:rsidRPr="00366B83">
        <w:t>Voditelj računovodstva:</w:t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Pr="00366B83">
        <w:tab/>
      </w:r>
      <w:r w:rsidR="00724F3E">
        <w:t>R A V N A T E LJ:</w:t>
      </w:r>
      <w:r w:rsidR="006A718B">
        <w:t xml:space="preserve">    </w:t>
      </w:r>
    </w:p>
    <w:p w:rsidR="00261D55" w:rsidRDefault="00261D55" w:rsidP="00724F3E">
      <w:pPr>
        <w:jc w:val="both"/>
        <w:rPr>
          <w:color w:val="FF0000"/>
        </w:rPr>
      </w:pPr>
    </w:p>
    <w:p w:rsidR="00261D55" w:rsidRPr="003D7136" w:rsidRDefault="006A718B" w:rsidP="00724F3E">
      <w:pPr>
        <w:jc w:val="both"/>
        <w:rPr>
          <w:color w:val="FF0000"/>
        </w:rPr>
      </w:pPr>
      <w:r w:rsidRPr="006A718B">
        <w:t xml:space="preserve">     </w:t>
      </w:r>
      <w:r w:rsidR="009113BC">
        <w:t>Neda Čavec</w:t>
      </w:r>
      <w:r w:rsidR="009113BC">
        <w:tab/>
      </w:r>
      <w:r w:rsidR="009113BC">
        <w:tab/>
      </w:r>
      <w:r w:rsidR="009113BC">
        <w:tab/>
      </w:r>
      <w:r w:rsidR="009113BC">
        <w:tab/>
      </w:r>
      <w:r w:rsidR="009113BC">
        <w:tab/>
      </w:r>
      <w:r w:rsidR="009113BC">
        <w:tab/>
        <w:t xml:space="preserve">Josip </w:t>
      </w:r>
      <w:proofErr w:type="spellStart"/>
      <w:r w:rsidR="009113BC">
        <w:t>Prološčić</w:t>
      </w:r>
      <w:proofErr w:type="spellEnd"/>
      <w:r w:rsidR="009113BC">
        <w:t xml:space="preserve">, </w:t>
      </w:r>
      <w:proofErr w:type="spellStart"/>
      <w:r w:rsidR="009113BC">
        <w:t>dipl.teolog</w:t>
      </w:r>
      <w:proofErr w:type="spellEnd"/>
    </w:p>
    <w:sectPr w:rsidR="00261D55" w:rsidRPr="003D7136" w:rsidSect="00902EC0">
      <w:pgSz w:w="11906" w:h="16838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C5" w:rsidRDefault="006323C5">
      <w:r>
        <w:separator/>
      </w:r>
    </w:p>
  </w:endnote>
  <w:endnote w:type="continuationSeparator" w:id="0">
    <w:p w:rsidR="006323C5" w:rsidRDefault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C5" w:rsidRDefault="006323C5">
      <w:r>
        <w:separator/>
      </w:r>
    </w:p>
  </w:footnote>
  <w:footnote w:type="continuationSeparator" w:id="0">
    <w:p w:rsidR="006323C5" w:rsidRDefault="0063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3A"/>
    <w:multiLevelType w:val="hybridMultilevel"/>
    <w:tmpl w:val="59488BE6"/>
    <w:lvl w:ilvl="0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4C05FCB"/>
    <w:multiLevelType w:val="hybridMultilevel"/>
    <w:tmpl w:val="4E6E51F8"/>
    <w:lvl w:ilvl="0" w:tplc="74AC5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703BF"/>
    <w:multiLevelType w:val="hybridMultilevel"/>
    <w:tmpl w:val="2F4849A6"/>
    <w:lvl w:ilvl="0" w:tplc="11D2E350">
      <w:numFmt w:val="bullet"/>
      <w:lvlText w:val="-"/>
      <w:lvlJc w:val="left"/>
      <w:pPr>
        <w:tabs>
          <w:tab w:val="num" w:pos="1638"/>
        </w:tabs>
        <w:ind w:left="1638" w:hanging="8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209D647D"/>
    <w:multiLevelType w:val="hybridMultilevel"/>
    <w:tmpl w:val="EE9EA6E2"/>
    <w:lvl w:ilvl="0" w:tplc="BD38B5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ADC7182"/>
    <w:multiLevelType w:val="hybridMultilevel"/>
    <w:tmpl w:val="DEAAA842"/>
    <w:lvl w:ilvl="0" w:tplc="6EE4A22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4B6602F"/>
    <w:multiLevelType w:val="hybridMultilevel"/>
    <w:tmpl w:val="65305BEE"/>
    <w:lvl w:ilvl="0" w:tplc="74AC5294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369D6006"/>
    <w:multiLevelType w:val="multilevel"/>
    <w:tmpl w:val="4E6E51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3C01"/>
    <w:multiLevelType w:val="hybridMultilevel"/>
    <w:tmpl w:val="7C289404"/>
    <w:lvl w:ilvl="0" w:tplc="74AC52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F43AB4"/>
    <w:multiLevelType w:val="hybridMultilevel"/>
    <w:tmpl w:val="B958E5A4"/>
    <w:lvl w:ilvl="0" w:tplc="74AC529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D91766E"/>
    <w:multiLevelType w:val="hybridMultilevel"/>
    <w:tmpl w:val="7A406FE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A"/>
    <w:rsid w:val="00006B6C"/>
    <w:rsid w:val="00014403"/>
    <w:rsid w:val="000203D0"/>
    <w:rsid w:val="00025871"/>
    <w:rsid w:val="000304A3"/>
    <w:rsid w:val="0003169A"/>
    <w:rsid w:val="0003600C"/>
    <w:rsid w:val="000570A4"/>
    <w:rsid w:val="0007131F"/>
    <w:rsid w:val="00091083"/>
    <w:rsid w:val="0009512A"/>
    <w:rsid w:val="000A349D"/>
    <w:rsid w:val="000B05C1"/>
    <w:rsid w:val="000C225B"/>
    <w:rsid w:val="000D1E17"/>
    <w:rsid w:val="000D3B4E"/>
    <w:rsid w:val="000D531F"/>
    <w:rsid w:val="000E637D"/>
    <w:rsid w:val="000E6F2D"/>
    <w:rsid w:val="000F22B1"/>
    <w:rsid w:val="000F3AF0"/>
    <w:rsid w:val="00106843"/>
    <w:rsid w:val="00114171"/>
    <w:rsid w:val="00117C93"/>
    <w:rsid w:val="00123A86"/>
    <w:rsid w:val="00126D4A"/>
    <w:rsid w:val="00134D28"/>
    <w:rsid w:val="00136202"/>
    <w:rsid w:val="00140DA3"/>
    <w:rsid w:val="00151AE8"/>
    <w:rsid w:val="00154B07"/>
    <w:rsid w:val="001565A5"/>
    <w:rsid w:val="00177222"/>
    <w:rsid w:val="001925CB"/>
    <w:rsid w:val="001A32AB"/>
    <w:rsid w:val="001A4756"/>
    <w:rsid w:val="001A6443"/>
    <w:rsid w:val="001E28D9"/>
    <w:rsid w:val="001F2513"/>
    <w:rsid w:val="001F6E34"/>
    <w:rsid w:val="002000C0"/>
    <w:rsid w:val="002106CB"/>
    <w:rsid w:val="002215FB"/>
    <w:rsid w:val="002225D7"/>
    <w:rsid w:val="00237D35"/>
    <w:rsid w:val="00252DA9"/>
    <w:rsid w:val="002615AD"/>
    <w:rsid w:val="00261D55"/>
    <w:rsid w:val="00265EAD"/>
    <w:rsid w:val="00266475"/>
    <w:rsid w:val="00274EA5"/>
    <w:rsid w:val="00275835"/>
    <w:rsid w:val="00275C62"/>
    <w:rsid w:val="00275C6A"/>
    <w:rsid w:val="002B61D5"/>
    <w:rsid w:val="002C28BC"/>
    <w:rsid w:val="002C5C0A"/>
    <w:rsid w:val="002C7995"/>
    <w:rsid w:val="002E19B8"/>
    <w:rsid w:val="003023C4"/>
    <w:rsid w:val="00327AE2"/>
    <w:rsid w:val="0034553C"/>
    <w:rsid w:val="0035727B"/>
    <w:rsid w:val="00363C16"/>
    <w:rsid w:val="00366B83"/>
    <w:rsid w:val="0037312D"/>
    <w:rsid w:val="00386E06"/>
    <w:rsid w:val="003C7847"/>
    <w:rsid w:val="003D7136"/>
    <w:rsid w:val="003E4EEB"/>
    <w:rsid w:val="003E54B3"/>
    <w:rsid w:val="003F5925"/>
    <w:rsid w:val="003F7513"/>
    <w:rsid w:val="00400171"/>
    <w:rsid w:val="004117BF"/>
    <w:rsid w:val="00423B9D"/>
    <w:rsid w:val="00425202"/>
    <w:rsid w:val="004502EA"/>
    <w:rsid w:val="0045184A"/>
    <w:rsid w:val="0045430B"/>
    <w:rsid w:val="0049065F"/>
    <w:rsid w:val="004A1E21"/>
    <w:rsid w:val="004D55AC"/>
    <w:rsid w:val="004E121F"/>
    <w:rsid w:val="004E3790"/>
    <w:rsid w:val="004F76AC"/>
    <w:rsid w:val="00510973"/>
    <w:rsid w:val="00511223"/>
    <w:rsid w:val="00512F86"/>
    <w:rsid w:val="00520503"/>
    <w:rsid w:val="005325B9"/>
    <w:rsid w:val="0054243A"/>
    <w:rsid w:val="005534B7"/>
    <w:rsid w:val="00556623"/>
    <w:rsid w:val="00556A77"/>
    <w:rsid w:val="0055705B"/>
    <w:rsid w:val="005570C1"/>
    <w:rsid w:val="00563878"/>
    <w:rsid w:val="00574D3C"/>
    <w:rsid w:val="00576885"/>
    <w:rsid w:val="00580374"/>
    <w:rsid w:val="005A70E2"/>
    <w:rsid w:val="005B47A3"/>
    <w:rsid w:val="005D4B18"/>
    <w:rsid w:val="005F17E4"/>
    <w:rsid w:val="005F3349"/>
    <w:rsid w:val="006072C6"/>
    <w:rsid w:val="0060758A"/>
    <w:rsid w:val="00613236"/>
    <w:rsid w:val="00625FD1"/>
    <w:rsid w:val="006323C5"/>
    <w:rsid w:val="006343BB"/>
    <w:rsid w:val="006465D6"/>
    <w:rsid w:val="00655325"/>
    <w:rsid w:val="0065773A"/>
    <w:rsid w:val="00661DBB"/>
    <w:rsid w:val="00666773"/>
    <w:rsid w:val="00682B67"/>
    <w:rsid w:val="00687869"/>
    <w:rsid w:val="00691F52"/>
    <w:rsid w:val="006939EB"/>
    <w:rsid w:val="00696399"/>
    <w:rsid w:val="0069644A"/>
    <w:rsid w:val="006A718B"/>
    <w:rsid w:val="006C226A"/>
    <w:rsid w:val="006E3497"/>
    <w:rsid w:val="006E69C2"/>
    <w:rsid w:val="006F20DB"/>
    <w:rsid w:val="00702ECE"/>
    <w:rsid w:val="007036ED"/>
    <w:rsid w:val="00703CB6"/>
    <w:rsid w:val="007138B9"/>
    <w:rsid w:val="00724F3E"/>
    <w:rsid w:val="00724FC8"/>
    <w:rsid w:val="00735DB4"/>
    <w:rsid w:val="00746DCA"/>
    <w:rsid w:val="00746FB1"/>
    <w:rsid w:val="007542E1"/>
    <w:rsid w:val="00754F4E"/>
    <w:rsid w:val="00757203"/>
    <w:rsid w:val="00796302"/>
    <w:rsid w:val="0079725C"/>
    <w:rsid w:val="007A0427"/>
    <w:rsid w:val="007A77FC"/>
    <w:rsid w:val="007B3044"/>
    <w:rsid w:val="007C01B9"/>
    <w:rsid w:val="007E3838"/>
    <w:rsid w:val="007E398B"/>
    <w:rsid w:val="007E742A"/>
    <w:rsid w:val="007E759E"/>
    <w:rsid w:val="00801AA5"/>
    <w:rsid w:val="0080407B"/>
    <w:rsid w:val="00820CDA"/>
    <w:rsid w:val="00820E44"/>
    <w:rsid w:val="00826536"/>
    <w:rsid w:val="008266D3"/>
    <w:rsid w:val="00835651"/>
    <w:rsid w:val="00843172"/>
    <w:rsid w:val="008519B2"/>
    <w:rsid w:val="008532CE"/>
    <w:rsid w:val="00862A3C"/>
    <w:rsid w:val="00865053"/>
    <w:rsid w:val="008740B2"/>
    <w:rsid w:val="008844B5"/>
    <w:rsid w:val="008A041F"/>
    <w:rsid w:val="008C1336"/>
    <w:rsid w:val="008C2EEA"/>
    <w:rsid w:val="008D433C"/>
    <w:rsid w:val="00902EC0"/>
    <w:rsid w:val="00903563"/>
    <w:rsid w:val="0090748E"/>
    <w:rsid w:val="009113BC"/>
    <w:rsid w:val="00922F0D"/>
    <w:rsid w:val="00922F72"/>
    <w:rsid w:val="009264F9"/>
    <w:rsid w:val="0094090D"/>
    <w:rsid w:val="00967C24"/>
    <w:rsid w:val="009863B0"/>
    <w:rsid w:val="009911DD"/>
    <w:rsid w:val="009A14C9"/>
    <w:rsid w:val="009A5155"/>
    <w:rsid w:val="009A5D4C"/>
    <w:rsid w:val="009C3BAB"/>
    <w:rsid w:val="009C597E"/>
    <w:rsid w:val="009D560B"/>
    <w:rsid w:val="009E2099"/>
    <w:rsid w:val="009F08C0"/>
    <w:rsid w:val="009F3FFD"/>
    <w:rsid w:val="009F48E6"/>
    <w:rsid w:val="009F7A15"/>
    <w:rsid w:val="00A00396"/>
    <w:rsid w:val="00A17B2F"/>
    <w:rsid w:val="00A243AF"/>
    <w:rsid w:val="00A37F7E"/>
    <w:rsid w:val="00A44E6E"/>
    <w:rsid w:val="00A60A14"/>
    <w:rsid w:val="00A61740"/>
    <w:rsid w:val="00A72C0C"/>
    <w:rsid w:val="00AA1902"/>
    <w:rsid w:val="00AB71A6"/>
    <w:rsid w:val="00AD10E3"/>
    <w:rsid w:val="00AD61B9"/>
    <w:rsid w:val="00AF1DA0"/>
    <w:rsid w:val="00AF52E8"/>
    <w:rsid w:val="00B02D2F"/>
    <w:rsid w:val="00B04881"/>
    <w:rsid w:val="00B2522C"/>
    <w:rsid w:val="00B2542B"/>
    <w:rsid w:val="00B4000B"/>
    <w:rsid w:val="00B41DFA"/>
    <w:rsid w:val="00B53EC8"/>
    <w:rsid w:val="00B54D21"/>
    <w:rsid w:val="00B56A65"/>
    <w:rsid w:val="00B6668F"/>
    <w:rsid w:val="00B74BF0"/>
    <w:rsid w:val="00BA1CF7"/>
    <w:rsid w:val="00BC3201"/>
    <w:rsid w:val="00BC5700"/>
    <w:rsid w:val="00BD0C28"/>
    <w:rsid w:val="00BD69DE"/>
    <w:rsid w:val="00BE6634"/>
    <w:rsid w:val="00BF5F6C"/>
    <w:rsid w:val="00C04E63"/>
    <w:rsid w:val="00C3011A"/>
    <w:rsid w:val="00C302E6"/>
    <w:rsid w:val="00C46266"/>
    <w:rsid w:val="00C60337"/>
    <w:rsid w:val="00C630F6"/>
    <w:rsid w:val="00C64836"/>
    <w:rsid w:val="00C749D0"/>
    <w:rsid w:val="00C842B2"/>
    <w:rsid w:val="00C85111"/>
    <w:rsid w:val="00CA2BB7"/>
    <w:rsid w:val="00CA467E"/>
    <w:rsid w:val="00CC4235"/>
    <w:rsid w:val="00CD4E70"/>
    <w:rsid w:val="00CE083F"/>
    <w:rsid w:val="00CE787C"/>
    <w:rsid w:val="00D070D1"/>
    <w:rsid w:val="00D10D5F"/>
    <w:rsid w:val="00D14856"/>
    <w:rsid w:val="00D17D8D"/>
    <w:rsid w:val="00D2112D"/>
    <w:rsid w:val="00D2328C"/>
    <w:rsid w:val="00D24B23"/>
    <w:rsid w:val="00D37994"/>
    <w:rsid w:val="00D42B56"/>
    <w:rsid w:val="00D60C0C"/>
    <w:rsid w:val="00D73AC2"/>
    <w:rsid w:val="00D81D9C"/>
    <w:rsid w:val="00D871CC"/>
    <w:rsid w:val="00DA2890"/>
    <w:rsid w:val="00DB00CD"/>
    <w:rsid w:val="00DB757A"/>
    <w:rsid w:val="00DC7BC5"/>
    <w:rsid w:val="00DD1E00"/>
    <w:rsid w:val="00DD33B3"/>
    <w:rsid w:val="00DD7C8C"/>
    <w:rsid w:val="00DE1532"/>
    <w:rsid w:val="00DE2146"/>
    <w:rsid w:val="00DE2EBC"/>
    <w:rsid w:val="00DF1CC8"/>
    <w:rsid w:val="00E13BE6"/>
    <w:rsid w:val="00E14AA2"/>
    <w:rsid w:val="00E23F43"/>
    <w:rsid w:val="00E3361C"/>
    <w:rsid w:val="00E51BA6"/>
    <w:rsid w:val="00E5610C"/>
    <w:rsid w:val="00E64171"/>
    <w:rsid w:val="00E81417"/>
    <w:rsid w:val="00E860EB"/>
    <w:rsid w:val="00EA3BF3"/>
    <w:rsid w:val="00EB14AF"/>
    <w:rsid w:val="00EB3F9D"/>
    <w:rsid w:val="00EB5EC2"/>
    <w:rsid w:val="00EC34A1"/>
    <w:rsid w:val="00EC6701"/>
    <w:rsid w:val="00ED5A1B"/>
    <w:rsid w:val="00ED7A03"/>
    <w:rsid w:val="00EE266E"/>
    <w:rsid w:val="00EE4F2C"/>
    <w:rsid w:val="00EF4A39"/>
    <w:rsid w:val="00F016E4"/>
    <w:rsid w:val="00F174AD"/>
    <w:rsid w:val="00F343E1"/>
    <w:rsid w:val="00F429B2"/>
    <w:rsid w:val="00F664B0"/>
    <w:rsid w:val="00F953AB"/>
    <w:rsid w:val="00F97FE5"/>
    <w:rsid w:val="00FA5021"/>
    <w:rsid w:val="00FA538D"/>
    <w:rsid w:val="00FF671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24F3E"/>
    <w:rPr>
      <w:sz w:val="20"/>
      <w:szCs w:val="20"/>
    </w:rPr>
  </w:style>
  <w:style w:type="character" w:styleId="Referencafusnote">
    <w:name w:val="footnote reference"/>
    <w:semiHidden/>
    <w:rsid w:val="00724F3E"/>
    <w:rPr>
      <w:vertAlign w:val="superscript"/>
    </w:rPr>
  </w:style>
  <w:style w:type="table" w:styleId="Profesionalnatablica">
    <w:name w:val="Table Professional"/>
    <w:basedOn w:val="Obinatablica"/>
    <w:rsid w:val="00AF1D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etkatablice">
    <w:name w:val="Table Grid"/>
    <w:basedOn w:val="Obinatablica"/>
    <w:rsid w:val="000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843172"/>
    <w:rPr>
      <w:b/>
      <w:bCs/>
    </w:rPr>
  </w:style>
  <w:style w:type="paragraph" w:styleId="Tekstbalonia">
    <w:name w:val="Balloon Text"/>
    <w:basedOn w:val="Normal"/>
    <w:link w:val="TekstbaloniaChar"/>
    <w:rsid w:val="009264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26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724F3E"/>
    <w:rPr>
      <w:sz w:val="20"/>
      <w:szCs w:val="20"/>
    </w:rPr>
  </w:style>
  <w:style w:type="character" w:styleId="Referencafusnote">
    <w:name w:val="footnote reference"/>
    <w:semiHidden/>
    <w:rsid w:val="00724F3E"/>
    <w:rPr>
      <w:vertAlign w:val="superscript"/>
    </w:rPr>
  </w:style>
  <w:style w:type="table" w:styleId="Profesionalnatablica">
    <w:name w:val="Table Professional"/>
    <w:basedOn w:val="Obinatablica"/>
    <w:rsid w:val="00AF1D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etkatablice">
    <w:name w:val="Table Grid"/>
    <w:basedOn w:val="Obinatablica"/>
    <w:rsid w:val="000A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843172"/>
    <w:rPr>
      <w:b/>
      <w:bCs/>
    </w:rPr>
  </w:style>
  <w:style w:type="paragraph" w:styleId="Tekstbalonia">
    <w:name w:val="Balloon Text"/>
    <w:basedOn w:val="Normal"/>
    <w:link w:val="TekstbaloniaChar"/>
    <w:rsid w:val="009264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264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591D-6C5E-4959-9CF7-08325D5D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„DOBRIŠA CESARIĆ“</vt:lpstr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CESARIĆ“</dc:title>
  <dc:subject/>
  <dc:creator>Ivo</dc:creator>
  <cp:keywords/>
  <dc:description/>
  <cp:lastModifiedBy>Neda</cp:lastModifiedBy>
  <cp:revision>9</cp:revision>
  <cp:lastPrinted>2017-10-17T10:33:00Z</cp:lastPrinted>
  <dcterms:created xsi:type="dcterms:W3CDTF">2018-10-09T12:15:00Z</dcterms:created>
  <dcterms:modified xsi:type="dcterms:W3CDTF">2018-10-10T10:56:00Z</dcterms:modified>
</cp:coreProperties>
</file>