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CE" w:rsidRDefault="00902EC0" w:rsidP="00724F3E">
      <w:r>
        <w:t>OSNOVNA ŠKOLA</w:t>
      </w:r>
    </w:p>
    <w:p w:rsidR="00902EC0" w:rsidRDefault="00902EC0" w:rsidP="00724F3E">
      <w:r>
        <w:t>„VLADIMIR NAZOR“</w:t>
      </w:r>
    </w:p>
    <w:p w:rsidR="00902EC0" w:rsidRDefault="00902EC0" w:rsidP="00724F3E">
      <w:r>
        <w:t>TRENKOVO, Mlinska 3</w:t>
      </w:r>
    </w:p>
    <w:p w:rsidR="00703CB6" w:rsidRDefault="00703CB6" w:rsidP="00724F3E"/>
    <w:p w:rsidR="00CD4E70" w:rsidRDefault="007036ED" w:rsidP="00724F3E">
      <w:r w:rsidRPr="00A44E6E">
        <w:t xml:space="preserve">KLASA: </w:t>
      </w:r>
      <w:r w:rsidR="00327AE2">
        <w:t>6</w:t>
      </w:r>
      <w:r w:rsidRPr="00A44E6E">
        <w:t>02-0</w:t>
      </w:r>
      <w:r w:rsidR="00D81D9C">
        <w:t>2</w:t>
      </w:r>
      <w:r w:rsidR="00F92D72">
        <w:t>/20</w:t>
      </w:r>
      <w:r w:rsidRPr="00A44E6E">
        <w:t>-01/</w:t>
      </w:r>
      <w:r w:rsidR="00C5085C">
        <w:t>182</w:t>
      </w:r>
    </w:p>
    <w:p w:rsidR="007036ED" w:rsidRDefault="00A44E6E" w:rsidP="00724F3E">
      <w:r w:rsidRPr="00A44E6E">
        <w:t>URBROJ: 2177-</w:t>
      </w:r>
      <w:r w:rsidR="00327AE2">
        <w:t>28</w:t>
      </w:r>
      <w:r w:rsidR="00F92D72">
        <w:t>-01-20</w:t>
      </w:r>
      <w:r w:rsidR="00BD69DE">
        <w:t>-</w:t>
      </w:r>
      <w:r w:rsidR="00C5085C">
        <w:t>2</w:t>
      </w:r>
    </w:p>
    <w:p w:rsidR="00703CB6" w:rsidRPr="00A44E6E" w:rsidRDefault="00703CB6" w:rsidP="00724F3E"/>
    <w:p w:rsidR="0045430B" w:rsidRDefault="00902EC0" w:rsidP="00724F3E">
      <w:r>
        <w:t>Trenkovo,</w:t>
      </w:r>
      <w:r w:rsidR="002A267E">
        <w:t>21.12</w:t>
      </w:r>
      <w:bookmarkStart w:id="0" w:name="_GoBack"/>
      <w:bookmarkEnd w:id="0"/>
      <w:r w:rsidR="00E655F6">
        <w:t>.2020.</w:t>
      </w:r>
    </w:p>
    <w:p w:rsidR="000304A3" w:rsidRDefault="000304A3" w:rsidP="00724F3E">
      <w:pPr>
        <w:ind w:left="2832" w:firstLine="2124"/>
      </w:pPr>
    </w:p>
    <w:p w:rsidR="000304A3" w:rsidRDefault="000304A3" w:rsidP="00724F3E">
      <w:pPr>
        <w:ind w:left="2832" w:firstLine="2124"/>
      </w:pPr>
    </w:p>
    <w:p w:rsidR="000304A3" w:rsidRDefault="000304A3" w:rsidP="00724F3E">
      <w:pPr>
        <w:ind w:left="2832" w:firstLine="2124"/>
      </w:pPr>
    </w:p>
    <w:p w:rsidR="00902EC0" w:rsidRDefault="00902EC0" w:rsidP="00724F3E">
      <w:pPr>
        <w:ind w:left="2832" w:firstLine="2124"/>
      </w:pPr>
      <w:r>
        <w:t>ŽUPANIJA POŽEŠKO-SLAVONSKA</w:t>
      </w:r>
    </w:p>
    <w:p w:rsidR="00820CDA" w:rsidRDefault="00820CDA" w:rsidP="00724F3E">
      <w:pPr>
        <w:ind w:left="708" w:firstLine="708"/>
      </w:pPr>
      <w:r>
        <w:tab/>
      </w:r>
      <w:r>
        <w:tab/>
        <w:t xml:space="preserve">   </w:t>
      </w:r>
      <w:r w:rsidR="00902EC0">
        <w:tab/>
      </w:r>
      <w:r w:rsidR="00902EC0">
        <w:tab/>
      </w:r>
      <w:r w:rsidR="00902EC0">
        <w:tab/>
      </w:r>
      <w:r>
        <w:t xml:space="preserve"> Upravni odjel za</w:t>
      </w:r>
      <w:r w:rsidR="00902EC0">
        <w:t xml:space="preserve"> proračun</w:t>
      </w:r>
    </w:p>
    <w:p w:rsidR="00902EC0" w:rsidRDefault="00902EC0" w:rsidP="00724F3E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 xml:space="preserve"> Požega</w:t>
      </w:r>
    </w:p>
    <w:p w:rsidR="0045430B" w:rsidRDefault="0045430B" w:rsidP="00724F3E"/>
    <w:p w:rsidR="000304A3" w:rsidRDefault="000304A3" w:rsidP="00724F3E"/>
    <w:p w:rsidR="000304A3" w:rsidRDefault="000304A3" w:rsidP="00724F3E"/>
    <w:p w:rsidR="004A1E21" w:rsidRDefault="00820CDA" w:rsidP="00724F3E">
      <w:pPr>
        <w:rPr>
          <w:b/>
        </w:rPr>
      </w:pPr>
      <w:r w:rsidRPr="009F08C0">
        <w:rPr>
          <w:b/>
        </w:rPr>
        <w:t>PREDMET: Obr</w:t>
      </w:r>
      <w:r w:rsidR="00F25285">
        <w:rPr>
          <w:b/>
        </w:rPr>
        <w:t>azloženje</w:t>
      </w:r>
      <w:r w:rsidR="00E2414F">
        <w:rPr>
          <w:b/>
        </w:rPr>
        <w:t xml:space="preserve"> </w:t>
      </w:r>
      <w:r w:rsidR="00705B4D">
        <w:rPr>
          <w:b/>
        </w:rPr>
        <w:t>F</w:t>
      </w:r>
      <w:r w:rsidR="00F25285">
        <w:rPr>
          <w:b/>
        </w:rPr>
        <w:t>inancijskog plana 202</w:t>
      </w:r>
      <w:r w:rsidR="00F92D72">
        <w:rPr>
          <w:b/>
        </w:rPr>
        <w:t>1</w:t>
      </w:r>
      <w:r w:rsidR="00556623">
        <w:rPr>
          <w:b/>
        </w:rPr>
        <w:t>.</w:t>
      </w:r>
      <w:r w:rsidR="00DB757A">
        <w:rPr>
          <w:b/>
        </w:rPr>
        <w:t>-202</w:t>
      </w:r>
      <w:r w:rsidR="00F92D72">
        <w:rPr>
          <w:b/>
        </w:rPr>
        <w:t>3</w:t>
      </w:r>
      <w:r w:rsidR="00556623">
        <w:rPr>
          <w:b/>
        </w:rPr>
        <w:t>.</w:t>
      </w:r>
    </w:p>
    <w:p w:rsidR="00902EC0" w:rsidRDefault="00902EC0" w:rsidP="00724F3E">
      <w:pPr>
        <w:rPr>
          <w:b/>
        </w:rPr>
      </w:pPr>
    </w:p>
    <w:p w:rsidR="005C7626" w:rsidRDefault="005C7626" w:rsidP="00724F3E">
      <w:pPr>
        <w:rPr>
          <w:b/>
        </w:rPr>
      </w:pPr>
    </w:p>
    <w:p w:rsidR="000304A3" w:rsidRPr="009F08C0" w:rsidRDefault="000304A3" w:rsidP="00724F3E">
      <w:pPr>
        <w:rPr>
          <w:b/>
        </w:rPr>
      </w:pPr>
    </w:p>
    <w:p w:rsidR="00902EC0" w:rsidRPr="000304A3" w:rsidRDefault="00902EC0" w:rsidP="000304A3">
      <w:pPr>
        <w:ind w:firstLine="708"/>
        <w:jc w:val="both"/>
        <w:rPr>
          <w:b/>
          <w:i/>
        </w:rPr>
      </w:pPr>
      <w:r w:rsidRPr="000304A3">
        <w:rPr>
          <w:b/>
          <w:i/>
        </w:rPr>
        <w:t>Sažetak djelokruga rada</w:t>
      </w:r>
    </w:p>
    <w:p w:rsidR="00724F3E" w:rsidRDefault="00724F3E" w:rsidP="00724F3E">
      <w:pPr>
        <w:jc w:val="both"/>
        <w:rPr>
          <w:i/>
        </w:rPr>
      </w:pPr>
    </w:p>
    <w:p w:rsidR="000304A3" w:rsidRPr="00175DEE" w:rsidRDefault="000304A3" w:rsidP="00724F3E">
      <w:pPr>
        <w:jc w:val="both"/>
        <w:rPr>
          <w:i/>
        </w:rPr>
      </w:pPr>
    </w:p>
    <w:p w:rsidR="00902EC0" w:rsidRDefault="00902EC0" w:rsidP="00724F3E">
      <w:pPr>
        <w:ind w:firstLine="708"/>
        <w:jc w:val="both"/>
      </w:pPr>
      <w:r>
        <w:t xml:space="preserve">Osnovna škola „ Vladimir </w:t>
      </w:r>
      <w:r w:rsidR="00BD69DE">
        <w:t>N</w:t>
      </w:r>
      <w:r>
        <w:t>azor“ Trenkovo, javna je ustanova, koja obavlja djelatnost odgoja i osnovnog obrazovanja na temelju Zakona o ustanovama i Zakona o odgoju i obrazovanju u osnovnoj i srednjoj školi.</w:t>
      </w:r>
    </w:p>
    <w:p w:rsidR="00293D09" w:rsidRDefault="00293D09" w:rsidP="00724F3E">
      <w:pPr>
        <w:ind w:firstLine="708"/>
        <w:jc w:val="both"/>
      </w:pPr>
    </w:p>
    <w:p w:rsidR="00902EC0" w:rsidRDefault="00902EC0" w:rsidP="00724F3E">
      <w:pPr>
        <w:jc w:val="both"/>
      </w:pPr>
      <w:r>
        <w:t xml:space="preserve">Sjedište škole je u </w:t>
      </w:r>
      <w:proofErr w:type="spellStart"/>
      <w:r>
        <w:t>Trenkovu</w:t>
      </w:r>
      <w:proofErr w:type="spellEnd"/>
      <w:r>
        <w:t>. Škola ima svoju Područnu školu, koja se nalazi u Mihaljevcima.</w:t>
      </w:r>
    </w:p>
    <w:p w:rsidR="00293D09" w:rsidRDefault="00293D09" w:rsidP="00724F3E">
      <w:pPr>
        <w:jc w:val="both"/>
      </w:pPr>
    </w:p>
    <w:p w:rsidR="00293D09" w:rsidRDefault="00902EC0" w:rsidP="00724F3E">
      <w:pPr>
        <w:jc w:val="both"/>
      </w:pPr>
      <w:r>
        <w:t>Djelatnost škole obuhvaća odgoj i osn</w:t>
      </w:r>
      <w:r w:rsidR="00FA538D">
        <w:t>ovno obrazovanje djece i mladih</w:t>
      </w:r>
      <w:r>
        <w:t>.</w:t>
      </w:r>
    </w:p>
    <w:p w:rsidR="00902EC0" w:rsidRDefault="00902EC0" w:rsidP="00724F3E">
      <w:pPr>
        <w:jc w:val="both"/>
      </w:pPr>
      <w:r>
        <w:t>Škola provodi svoju</w:t>
      </w:r>
      <w:r w:rsidR="00293D09">
        <w:t xml:space="preserve"> </w:t>
      </w:r>
      <w:r>
        <w:t>d</w:t>
      </w:r>
      <w:r w:rsidR="00FA538D">
        <w:t>jelatnost na temelju nastavnog P</w:t>
      </w:r>
      <w:r>
        <w:t>lana i programa osnovnog obrazovanja, koji je donio resorni ministar svojom Odlukom objavljenom u</w:t>
      </w:r>
      <w:r w:rsidR="00FA538D">
        <w:t xml:space="preserve"> Narodnim novinama 102/06., te N</w:t>
      </w:r>
      <w:r>
        <w:t>acionalnog i školskog kurikuluma.</w:t>
      </w:r>
    </w:p>
    <w:p w:rsidR="00293D09" w:rsidRDefault="00293D09" w:rsidP="00724F3E">
      <w:pPr>
        <w:jc w:val="both"/>
      </w:pPr>
    </w:p>
    <w:p w:rsidR="00902EC0" w:rsidRDefault="00902EC0" w:rsidP="00724F3E">
      <w:pPr>
        <w:jc w:val="both"/>
      </w:pPr>
      <w:r>
        <w:t>Djelatnost škole financira se iz proračuna Republike Hrvatske i decentraliziranih sredstava županije Požeško-</w:t>
      </w:r>
      <w:r w:rsidR="00B53EC8">
        <w:t>s</w:t>
      </w:r>
      <w:r>
        <w:t>lavonske.</w:t>
      </w:r>
    </w:p>
    <w:p w:rsidR="00724F3E" w:rsidRDefault="00724F3E" w:rsidP="00724F3E">
      <w:pPr>
        <w:jc w:val="both"/>
      </w:pPr>
    </w:p>
    <w:p w:rsidR="00902EC0" w:rsidRDefault="00902EC0" w:rsidP="00724F3E">
      <w:pPr>
        <w:ind w:firstLine="708"/>
        <w:jc w:val="both"/>
      </w:pPr>
      <w:r>
        <w:t xml:space="preserve">Svoju djelatnost škola obavlja kao javnu službu. Na temelju javnih ovlasti škola obavlja sljedeće poslove: </w:t>
      </w:r>
    </w:p>
    <w:p w:rsidR="00293D09" w:rsidRDefault="00293D09" w:rsidP="00724F3E">
      <w:pPr>
        <w:ind w:firstLine="708"/>
        <w:jc w:val="both"/>
      </w:pPr>
    </w:p>
    <w:p w:rsidR="00902EC0" w:rsidRDefault="00902EC0" w:rsidP="00724F3E">
      <w:pPr>
        <w:numPr>
          <w:ilvl w:val="0"/>
          <w:numId w:val="10"/>
        </w:numPr>
        <w:jc w:val="both"/>
      </w:pPr>
      <w:r>
        <w:t xml:space="preserve">upise i ispise </w:t>
      </w:r>
      <w:r w:rsidR="00BD69DE">
        <w:t xml:space="preserve">učenika </w:t>
      </w:r>
      <w:r>
        <w:t>iz škole s vođenjem odgovarajuće evidencije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organizira i izvodi nastavu i druge oblike odgojno obrazovnog rada s učenicima i vodi odgovarajuću evidenciju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vrednuje i ocjenjuje učenike i vodi evidenciju o tome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izriče pedagoške mjere i vodi evidenciju o njima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izdaje javne isprave iz svog djelokruga rada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 xml:space="preserve">izdaje potvrde iz svog djelokruga </w:t>
      </w:r>
    </w:p>
    <w:p w:rsidR="00724F3E" w:rsidRDefault="00724F3E" w:rsidP="00724F3E">
      <w:pPr>
        <w:ind w:left="180"/>
        <w:jc w:val="both"/>
      </w:pPr>
    </w:p>
    <w:p w:rsidR="00902EC0" w:rsidRDefault="00902EC0" w:rsidP="00724F3E">
      <w:pPr>
        <w:ind w:firstLine="540"/>
        <w:jc w:val="both"/>
      </w:pPr>
      <w:r>
        <w:lastRenderedPageBreak/>
        <w:t>Nastava se ustrojava po razredima, a izvodi u razrednim odjelima. Razredni odjeli ustrojavaju se sukladno Zakonu i Pedagoškom standardu. Tako u O</w:t>
      </w:r>
      <w:r w:rsidR="006072C6">
        <w:t>Š „Vladimir Nazor“</w:t>
      </w:r>
      <w:r w:rsidR="00FA538D">
        <w:t xml:space="preserve"> Trenkovo</w:t>
      </w:r>
      <w:r w:rsidR="00514AC5">
        <w:t xml:space="preserve"> ima ukupno </w:t>
      </w:r>
      <w:r w:rsidR="0059638A">
        <w:t>12</w:t>
      </w:r>
      <w:r>
        <w:t xml:space="preserve"> r</w:t>
      </w:r>
      <w:r w:rsidR="00DB757A">
        <w:t>azrednih odjela, od toga broja 7</w:t>
      </w:r>
      <w:r>
        <w:t xml:space="preserve"> razr</w:t>
      </w:r>
      <w:r w:rsidR="00691F52">
        <w:t>ednih odjela razredne nastave i</w:t>
      </w:r>
      <w:r w:rsidR="00514AC5">
        <w:t xml:space="preserve"> </w:t>
      </w:r>
      <w:r w:rsidR="0059638A">
        <w:t>5</w:t>
      </w:r>
      <w:r>
        <w:t xml:space="preserve"> razrednih odjela predmetne nastave.</w:t>
      </w:r>
    </w:p>
    <w:p w:rsidR="00724F3E" w:rsidRDefault="00724F3E" w:rsidP="00724F3E">
      <w:pPr>
        <w:ind w:firstLine="540"/>
        <w:jc w:val="both"/>
      </w:pPr>
    </w:p>
    <w:p w:rsidR="00293D09" w:rsidRDefault="00DB00CD" w:rsidP="00ED0450">
      <w:pPr>
        <w:ind w:firstLine="540"/>
        <w:jc w:val="both"/>
      </w:pPr>
      <w:r>
        <w:t xml:space="preserve">U školi ima ukupno </w:t>
      </w:r>
      <w:r w:rsidR="00514AC5">
        <w:t>1</w:t>
      </w:r>
      <w:r w:rsidR="0059638A">
        <w:t>41</w:t>
      </w:r>
      <w:r w:rsidR="00514AC5">
        <w:t xml:space="preserve"> </w:t>
      </w:r>
      <w:r w:rsidR="00902EC0">
        <w:t xml:space="preserve">učenik. Nastavu pohađa i </w:t>
      </w:r>
      <w:r w:rsidR="0059638A">
        <w:t>6</w:t>
      </w:r>
      <w:r w:rsidR="00902EC0">
        <w:t xml:space="preserve"> učenika</w:t>
      </w:r>
      <w:r>
        <w:t>/</w:t>
      </w:r>
      <w:proofErr w:type="spellStart"/>
      <w:r>
        <w:t>ca</w:t>
      </w:r>
      <w:proofErr w:type="spellEnd"/>
      <w:r w:rsidR="00902EC0">
        <w:t xml:space="preserve"> po </w:t>
      </w:r>
      <w:r w:rsidR="0009512A">
        <w:t>redovitom programu uz prilagodbu sadržaja i</w:t>
      </w:r>
      <w:r w:rsidR="00514AC5">
        <w:t xml:space="preserve"> individualizirane postupke te </w:t>
      </w:r>
      <w:r w:rsidR="0059638A">
        <w:t>3</w:t>
      </w:r>
      <w:r w:rsidR="0009512A">
        <w:t xml:space="preserve"> učenika/ce po redovitom programu uz individualizirane postupke.</w:t>
      </w:r>
      <w:r w:rsidR="0059638A">
        <w:t xml:space="preserve"> </w:t>
      </w:r>
    </w:p>
    <w:p w:rsidR="00724F3E" w:rsidRDefault="0059638A" w:rsidP="00ED0450">
      <w:pPr>
        <w:ind w:firstLine="540"/>
        <w:jc w:val="both"/>
      </w:pPr>
      <w:r>
        <w:t>U školi trenutno tri učenika imaju pomoćnika u nastavi</w:t>
      </w:r>
      <w:r w:rsidR="002F6294">
        <w:t xml:space="preserve">. Pomoćnici </w:t>
      </w:r>
      <w:r w:rsidR="00A0701C">
        <w:t>su</w:t>
      </w:r>
      <w:r w:rsidR="002F6294">
        <w:t xml:space="preserve"> osigurani preko projekta </w:t>
      </w:r>
      <w:r w:rsidR="00A0701C">
        <w:t xml:space="preserve">„Obrazujmo se zajedno IV“ kojemu je </w:t>
      </w:r>
      <w:r w:rsidR="00A0701C" w:rsidRPr="00A0701C">
        <w:t xml:space="preserve">cilj </w:t>
      </w:r>
      <w:r w:rsidR="00A0701C" w:rsidRPr="00A0701C">
        <w:rPr>
          <w:shd w:val="clear" w:color="auto" w:fill="FFFFFF"/>
        </w:rPr>
        <w:t>pružiti potporu uključivanju učenika s teškoćama u školama na području Požeško-slavonske županije kako bi se osigurali uvjeti za poboljšanje njihovih obrazovnih postignuća, uspješniju socijalizaciju i emocionalno funkcioniranje. </w:t>
      </w:r>
    </w:p>
    <w:p w:rsidR="00F92D72" w:rsidRDefault="00902EC0" w:rsidP="00724F3E">
      <w:pPr>
        <w:ind w:firstLine="540"/>
        <w:jc w:val="both"/>
      </w:pPr>
      <w:r>
        <w:t xml:space="preserve">Osim nastave u </w:t>
      </w:r>
      <w:r w:rsidR="00AF1DA0">
        <w:t>Š</w:t>
      </w:r>
      <w:r>
        <w:t xml:space="preserve">koli se ustrojavaju i izvannastavne aktivnosti, radi proširivanja obrazovnih sadržaja te poticanja individualnih sklonosti. </w:t>
      </w:r>
    </w:p>
    <w:p w:rsidR="00293D09" w:rsidRDefault="00293D09" w:rsidP="00724F3E">
      <w:pPr>
        <w:ind w:firstLine="540"/>
        <w:jc w:val="both"/>
      </w:pPr>
    </w:p>
    <w:p w:rsidR="0059638A" w:rsidRDefault="00F92D72" w:rsidP="0059638A">
      <w:pPr>
        <w:ind w:firstLine="540"/>
        <w:jc w:val="both"/>
      </w:pPr>
      <w:r>
        <w:t>Pri Školi djeluje Učenička zadruga koja za cilj im</w:t>
      </w:r>
      <w:r w:rsidR="0059638A">
        <w:t>a</w:t>
      </w:r>
      <w:r w:rsidR="0059638A">
        <w:rPr>
          <w:rStyle w:val="normaltextrun"/>
          <w:rFonts w:ascii="Cambria" w:hAnsi="Cambria"/>
          <w:color w:val="000000"/>
          <w:shd w:val="clear" w:color="auto" w:fill="FFFFFF"/>
        </w:rPr>
        <w:t xml:space="preserve"> omogućiti učenicima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</w:r>
      <w:r w:rsidR="0059638A">
        <w:rPr>
          <w:rStyle w:val="eop"/>
          <w:rFonts w:ascii="Cambria" w:hAnsi="Cambria"/>
          <w:color w:val="000000"/>
          <w:shd w:val="clear" w:color="auto" w:fill="FFFFFF"/>
        </w:rPr>
        <w:t> </w:t>
      </w:r>
    </w:p>
    <w:p w:rsidR="0059638A" w:rsidRDefault="00F92D72" w:rsidP="009F3E88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>
        <w:t xml:space="preserve">Također je u tijeku i projekt </w:t>
      </w:r>
      <w:proofErr w:type="spellStart"/>
      <w:r>
        <w:t>Tiffany</w:t>
      </w:r>
      <w:proofErr w:type="spellEnd"/>
      <w:r>
        <w:t xml:space="preserve"> kojim se djeca</w:t>
      </w:r>
      <w:r w:rsidR="0059638A">
        <w:t xml:space="preserve"> nastoje upoznati s izradom predmeta </w:t>
      </w:r>
      <w:proofErr w:type="spellStart"/>
      <w:r w:rsidR="0059638A">
        <w:t>tiffany</w:t>
      </w:r>
      <w:proofErr w:type="spellEnd"/>
      <w:r w:rsidR="0059638A">
        <w:t xml:space="preserve"> tehnikom kako bi unaprijedili vještine kreativnog izražavanja te razvili poduzetnički duh. Planirana je prodaja predmeta preko učeničke zadruge.</w:t>
      </w:r>
    </w:p>
    <w:p w:rsidR="0059638A" w:rsidRDefault="0059638A" w:rsidP="005963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902EC0" w:rsidRDefault="00902EC0" w:rsidP="0059638A">
      <w:pPr>
        <w:ind w:firstLine="540"/>
        <w:jc w:val="both"/>
      </w:pPr>
      <w:r>
        <w:t>U izvođenju odgojno obrazovnih sadržaja škola surađuje s drugim školama, ustanovama te udrugama.</w:t>
      </w:r>
    </w:p>
    <w:p w:rsidR="00724F3E" w:rsidRDefault="00724F3E" w:rsidP="00724F3E">
      <w:pPr>
        <w:ind w:firstLine="540"/>
        <w:jc w:val="both"/>
      </w:pPr>
    </w:p>
    <w:p w:rsidR="00902EC0" w:rsidRDefault="00902EC0" w:rsidP="00724F3E">
      <w:pPr>
        <w:ind w:firstLine="540"/>
        <w:jc w:val="both"/>
      </w:pPr>
      <w:r>
        <w:t xml:space="preserve">Radi upotpunjavanja obrazovnih sadržaja škola organizira poludnevne, jednodnevne izlete, i višednevne ekskurzije, kao i terensku nastavu. </w:t>
      </w:r>
    </w:p>
    <w:p w:rsidR="00703CB6" w:rsidRDefault="00703CB6" w:rsidP="00724F3E">
      <w:pPr>
        <w:ind w:firstLine="540"/>
        <w:jc w:val="both"/>
      </w:pPr>
    </w:p>
    <w:p w:rsidR="00902EC0" w:rsidRDefault="00902EC0" w:rsidP="00724F3E">
      <w:pPr>
        <w:ind w:firstLine="540"/>
        <w:jc w:val="both"/>
      </w:pPr>
      <w:r>
        <w:t>U školi je organizirana i prehrana za učenike. Troškove p</w:t>
      </w:r>
      <w:r w:rsidR="00F92D72">
        <w:t>rehrane snose roditelji učenika, a učenici slabijeg imovnog statusa uključeni su u projekt Obrok za V koji se organizira preko Županije iz sredstava Europske unije.</w:t>
      </w:r>
      <w:r>
        <w:t xml:space="preserve"> </w:t>
      </w:r>
    </w:p>
    <w:p w:rsidR="00724F3E" w:rsidRDefault="00724F3E" w:rsidP="00724F3E">
      <w:pPr>
        <w:ind w:firstLine="540"/>
        <w:jc w:val="both"/>
      </w:pPr>
    </w:p>
    <w:p w:rsidR="00902EC0" w:rsidRDefault="00902EC0" w:rsidP="00724F3E">
      <w:pPr>
        <w:ind w:firstLine="540"/>
        <w:jc w:val="both"/>
      </w:pPr>
      <w:r>
        <w:t>U školi su ustrojene dvije službe:</w:t>
      </w:r>
    </w:p>
    <w:p w:rsidR="00902EC0" w:rsidRDefault="00902EC0" w:rsidP="00724F3E">
      <w:pPr>
        <w:ind w:firstLine="540"/>
        <w:jc w:val="both"/>
      </w:pPr>
      <w:r>
        <w:t>- stručno pedagoška</w:t>
      </w:r>
    </w:p>
    <w:p w:rsidR="00902EC0" w:rsidRDefault="00902EC0" w:rsidP="00724F3E">
      <w:pPr>
        <w:ind w:firstLine="540"/>
        <w:jc w:val="both"/>
      </w:pPr>
      <w:r>
        <w:t>- administrativno tehnička</w:t>
      </w:r>
    </w:p>
    <w:p w:rsidR="00724F3E" w:rsidRDefault="00724F3E" w:rsidP="00724F3E">
      <w:pPr>
        <w:ind w:firstLine="540"/>
        <w:jc w:val="both"/>
      </w:pPr>
    </w:p>
    <w:p w:rsidR="00902EC0" w:rsidRDefault="00902EC0" w:rsidP="00724F3E">
      <w:pPr>
        <w:ind w:firstLine="540"/>
        <w:jc w:val="both"/>
      </w:pPr>
      <w:r>
        <w:t>Stručno pedagoška služba obavlja poslove u vezi s izvođenjem nastavnog plana i programa, te neposrednog odgojno obrazovnog rada s učenicima.</w:t>
      </w:r>
    </w:p>
    <w:p w:rsidR="00724F3E" w:rsidRDefault="00724F3E" w:rsidP="00724F3E">
      <w:pPr>
        <w:ind w:firstLine="540"/>
        <w:jc w:val="both"/>
      </w:pPr>
    </w:p>
    <w:p w:rsidR="00902EC0" w:rsidRDefault="00902EC0" w:rsidP="00724F3E">
      <w:pPr>
        <w:ind w:firstLine="540"/>
        <w:jc w:val="both"/>
      </w:pPr>
      <w:r>
        <w:t>Administrativno tehnička služba obavlja opće, pravne, kadrovske poslove, računovodstveno–knjigovodstvene</w:t>
      </w:r>
      <w:r w:rsidR="001A4756">
        <w:t xml:space="preserve"> </w:t>
      </w:r>
      <w:r>
        <w:t>poslove, poslove čuvanja i vođenja pedagoške dokumentacije, tehničkog održavanja i rukovanja opremom i uređajima, poslove održavanja čistoće objekta i okoliša.</w:t>
      </w:r>
    </w:p>
    <w:p w:rsidR="00724F3E" w:rsidRDefault="00724F3E" w:rsidP="00724F3E">
      <w:pPr>
        <w:ind w:firstLine="540"/>
        <w:jc w:val="both"/>
      </w:pPr>
    </w:p>
    <w:p w:rsidR="00902EC0" w:rsidRDefault="00902EC0" w:rsidP="00724F3E">
      <w:pPr>
        <w:ind w:firstLine="540"/>
        <w:jc w:val="both"/>
      </w:pPr>
      <w:r>
        <w:t>Škola ima 3</w:t>
      </w:r>
      <w:r w:rsidR="0059638A">
        <w:t>1</w:t>
      </w:r>
      <w:r>
        <w:t xml:space="preserve"> zaposlenih. Od toga broja 7 je administrativno tehničkog osoblja, a ostalo </w:t>
      </w:r>
      <w:r w:rsidR="00BD69DE">
        <w:t>je</w:t>
      </w:r>
      <w:r>
        <w:t xml:space="preserve"> stručno pedagoška služba.</w:t>
      </w:r>
    </w:p>
    <w:p w:rsidR="00293D09" w:rsidRDefault="00293D09" w:rsidP="00724F3E">
      <w:pPr>
        <w:ind w:firstLine="540"/>
        <w:jc w:val="both"/>
      </w:pPr>
    </w:p>
    <w:p w:rsidR="00902EC0" w:rsidRDefault="00902EC0" w:rsidP="00724F3E">
      <w:pPr>
        <w:jc w:val="both"/>
      </w:pPr>
      <w:r>
        <w:t>Škola obavlja djelatnost na temelju: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Ustav RH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Zakon o ustanovama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Zakon o radu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Zakon o odgoju i obrazovanju u osnovnoj i srednjoj školi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Zakon o upravnom postupku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Pravilnik o upisu djece u osnovnu školu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Zakon o javnoj nabavi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Zakon o proračunu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Pravilnik o proračunskom računovodstvu i Računskom planu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Uredbe o računovodstvu</w:t>
      </w:r>
    </w:p>
    <w:p w:rsidR="00293D09" w:rsidRDefault="00293D09" w:rsidP="00293D09">
      <w:pPr>
        <w:jc w:val="both"/>
      </w:pPr>
    </w:p>
    <w:p w:rsidR="00293D09" w:rsidRDefault="00293D09" w:rsidP="00293D09">
      <w:pPr>
        <w:jc w:val="both"/>
      </w:pPr>
    </w:p>
    <w:p w:rsidR="005A2D5A" w:rsidRDefault="005A2D5A" w:rsidP="00293D09">
      <w:pPr>
        <w:jc w:val="both"/>
      </w:pPr>
    </w:p>
    <w:p w:rsidR="00902EC0" w:rsidRDefault="00902EC0" w:rsidP="00724F3E">
      <w:pPr>
        <w:jc w:val="both"/>
      </w:pPr>
    </w:p>
    <w:p w:rsidR="00293D09" w:rsidRPr="000304A3" w:rsidRDefault="00293D09" w:rsidP="00293D09">
      <w:pPr>
        <w:ind w:firstLine="708"/>
        <w:rPr>
          <w:b/>
          <w:i/>
        </w:rPr>
      </w:pPr>
      <w:r w:rsidRPr="000304A3">
        <w:rPr>
          <w:b/>
          <w:i/>
        </w:rPr>
        <w:t>Zakonske i druge podloge na kojima se zasnivaju programi</w:t>
      </w:r>
    </w:p>
    <w:p w:rsidR="00293D09" w:rsidRDefault="00293D09" w:rsidP="00293D09">
      <w:pPr>
        <w:ind w:firstLine="708"/>
        <w:jc w:val="both"/>
        <w:rPr>
          <w:i/>
        </w:rPr>
      </w:pPr>
    </w:p>
    <w:p w:rsidR="00293D09" w:rsidRPr="00014403" w:rsidRDefault="00293D09" w:rsidP="00293D09">
      <w:pPr>
        <w:ind w:firstLine="708"/>
        <w:jc w:val="both"/>
        <w:rPr>
          <w:i/>
        </w:rPr>
      </w:pPr>
    </w:p>
    <w:p w:rsidR="00293D09" w:rsidRPr="00014403" w:rsidRDefault="00293D09" w:rsidP="00293D09">
      <w:pPr>
        <w:ind w:firstLine="708"/>
        <w:jc w:val="both"/>
        <w:rPr>
          <w:i/>
        </w:rPr>
      </w:pPr>
      <w:r w:rsidRPr="00014403">
        <w:rPr>
          <w:bCs/>
          <w:i/>
        </w:rPr>
        <w:t>Osnovno obrazovanje djece i mladih</w:t>
      </w:r>
      <w:r w:rsidRPr="00014403">
        <w:rPr>
          <w:bCs/>
        </w:rPr>
        <w:t xml:space="preserve"> zasniva se na Zakonu o odgoju i obrazovanju u osnovnoj i srednjoj školi, Zakonu o radu, Zakonu o ustanovama, Pedagoškom standardu, Temeljnom  kolektivnom  ugovoru za zaposlenike u javnim službama, Kolektivnom ugovoru za zaposlenike u osnovnoškolskim ustanovama, Nastavnom planu i programu rada, Pravilnikom o broju učenika u redovnom i kombiniranom razrednom odjeljenju u osnovnoj školi, Pravilnik o obvezama učitelja i stručnih suradnika u osnovnoj školi, Zakonu o knjižnicama</w:t>
      </w:r>
      <w:r>
        <w:rPr>
          <w:bCs/>
        </w:rPr>
        <w:t>.</w:t>
      </w:r>
    </w:p>
    <w:p w:rsidR="00293D09" w:rsidRPr="00014403" w:rsidRDefault="00293D09" w:rsidP="00293D09">
      <w:pPr>
        <w:ind w:firstLine="708"/>
        <w:jc w:val="both"/>
        <w:rPr>
          <w:i/>
        </w:rPr>
      </w:pPr>
    </w:p>
    <w:p w:rsidR="00293D09" w:rsidRDefault="00293D09" w:rsidP="00293D09">
      <w:pPr>
        <w:ind w:firstLine="708"/>
        <w:jc w:val="both"/>
        <w:rPr>
          <w:bCs/>
        </w:rPr>
      </w:pPr>
      <w:r w:rsidRPr="00014403">
        <w:rPr>
          <w:bCs/>
          <w:i/>
        </w:rPr>
        <w:t>Prehrana učenika</w:t>
      </w:r>
      <w:r w:rsidRPr="00014403">
        <w:rPr>
          <w:bCs/>
        </w:rPr>
        <w:t xml:space="preserve"> je organizirana temeljem Pedagoškog standarda,</w:t>
      </w:r>
      <w:r>
        <w:rPr>
          <w:bCs/>
        </w:rPr>
        <w:t>Sustavu HACCP-a, te Odluke o cijeni obroka u školskoj kuhinji i uključivanjem u projekt „Obroka za V “.</w:t>
      </w:r>
    </w:p>
    <w:p w:rsidR="00293D09" w:rsidRPr="00014403" w:rsidRDefault="00293D09" w:rsidP="00293D09">
      <w:pPr>
        <w:ind w:firstLine="708"/>
        <w:jc w:val="both"/>
        <w:rPr>
          <w:i/>
        </w:rPr>
      </w:pPr>
    </w:p>
    <w:p w:rsidR="00293D09" w:rsidRDefault="00293D09" w:rsidP="00293D09">
      <w:pPr>
        <w:ind w:firstLine="708"/>
        <w:jc w:val="both"/>
        <w:rPr>
          <w:bCs/>
        </w:rPr>
      </w:pPr>
      <w:r w:rsidRPr="00014403">
        <w:rPr>
          <w:bCs/>
          <w:i/>
        </w:rPr>
        <w:t>Organizacija izleta, ekskurzija, terenske nastave, škole u prirodi</w:t>
      </w:r>
      <w:r w:rsidRPr="00014403">
        <w:rPr>
          <w:bCs/>
        </w:rPr>
        <w:t xml:space="preserve"> provodi se u skladu sa Zakonom o odgoju i obrazovanju u osnovnoj i srednjoj školi, Nacionalnog kurikuluma, Školskog kurikuluma, </w:t>
      </w:r>
      <w:r>
        <w:rPr>
          <w:bCs/>
        </w:rPr>
        <w:t xml:space="preserve">Pravilnika o izvođenju izleta, ekskurzija i drugih odgojno-obrazovnih aktivnosti izvan Škole, </w:t>
      </w:r>
      <w:r w:rsidRPr="00014403">
        <w:rPr>
          <w:bCs/>
        </w:rPr>
        <w:t>Godišnjeg plana i programa rada te odobrenja roditelja</w:t>
      </w:r>
      <w:r>
        <w:rPr>
          <w:bCs/>
        </w:rPr>
        <w:t xml:space="preserve"> uz poštivanje epidemioloških mjera koje su trenutno važeće.</w:t>
      </w:r>
      <w:r w:rsidRPr="00014403">
        <w:rPr>
          <w:bCs/>
        </w:rPr>
        <w:t xml:space="preserve"> </w:t>
      </w:r>
    </w:p>
    <w:p w:rsidR="00293D09" w:rsidRDefault="00293D09" w:rsidP="00293D09">
      <w:pPr>
        <w:ind w:firstLine="708"/>
        <w:jc w:val="both"/>
        <w:rPr>
          <w:i/>
        </w:rPr>
      </w:pPr>
    </w:p>
    <w:p w:rsidR="00293D09" w:rsidRDefault="00293D09" w:rsidP="00293D09">
      <w:pPr>
        <w:ind w:firstLine="708"/>
        <w:jc w:val="both"/>
        <w:rPr>
          <w:i/>
        </w:rPr>
      </w:pPr>
    </w:p>
    <w:p w:rsidR="005A2D5A" w:rsidRDefault="005A2D5A" w:rsidP="00293D09">
      <w:pPr>
        <w:ind w:firstLine="708"/>
        <w:jc w:val="both"/>
        <w:rPr>
          <w:i/>
        </w:rPr>
      </w:pPr>
    </w:p>
    <w:p w:rsidR="00902EC0" w:rsidRDefault="00902EC0" w:rsidP="00724F3E">
      <w:pPr>
        <w:jc w:val="both"/>
      </w:pPr>
    </w:p>
    <w:p w:rsidR="00D16CFF" w:rsidRDefault="00D16CFF" w:rsidP="00D16CFF">
      <w:pPr>
        <w:ind w:firstLine="708"/>
        <w:jc w:val="both"/>
      </w:pPr>
    </w:p>
    <w:p w:rsidR="00D16CFF" w:rsidRDefault="00D16CFF" w:rsidP="00D16CFF">
      <w:pPr>
        <w:ind w:firstLine="708"/>
        <w:jc w:val="both"/>
        <w:rPr>
          <w:b/>
          <w:i/>
        </w:rPr>
      </w:pPr>
      <w:r>
        <w:rPr>
          <w:b/>
          <w:i/>
        </w:rPr>
        <w:t>Obrazloženje - i</w:t>
      </w:r>
      <w:r w:rsidRPr="000304A3">
        <w:rPr>
          <w:b/>
          <w:i/>
        </w:rPr>
        <w:t>shodiš</w:t>
      </w:r>
      <w:r>
        <w:rPr>
          <w:b/>
          <w:i/>
        </w:rPr>
        <w:t>ta</w:t>
      </w:r>
      <w:r w:rsidRPr="000304A3">
        <w:rPr>
          <w:b/>
          <w:i/>
        </w:rPr>
        <w:t xml:space="preserve"> i pokazatelji na kojima se zasnivaju izračuni i ocjene potrebnih sredstava za provođenje programa</w:t>
      </w:r>
      <w:r>
        <w:rPr>
          <w:b/>
          <w:i/>
        </w:rPr>
        <w:t>:</w:t>
      </w:r>
    </w:p>
    <w:p w:rsidR="00D16CFF" w:rsidRDefault="00D16CFF" w:rsidP="00D16CFF">
      <w:pPr>
        <w:ind w:firstLine="708"/>
        <w:jc w:val="both"/>
        <w:rPr>
          <w:b/>
          <w:i/>
        </w:rPr>
      </w:pPr>
    </w:p>
    <w:p w:rsidR="00266475" w:rsidRDefault="00266475" w:rsidP="00724F3E">
      <w:pPr>
        <w:jc w:val="both"/>
      </w:pPr>
    </w:p>
    <w:p w:rsidR="00724F3E" w:rsidRDefault="00724F3E" w:rsidP="00724F3E">
      <w:pPr>
        <w:ind w:firstLine="708"/>
        <w:jc w:val="both"/>
        <w:rPr>
          <w:i/>
        </w:rPr>
      </w:pPr>
    </w:p>
    <w:p w:rsidR="00F576B9" w:rsidRDefault="00F576B9" w:rsidP="00724F3E">
      <w:pPr>
        <w:ind w:firstLine="708"/>
        <w:jc w:val="both"/>
        <w:rPr>
          <w:i/>
        </w:rPr>
      </w:pPr>
    </w:p>
    <w:p w:rsidR="00796302" w:rsidRDefault="00274EA5" w:rsidP="00724F3E">
      <w:pPr>
        <w:ind w:firstLine="708"/>
        <w:jc w:val="both"/>
      </w:pPr>
      <w:r>
        <w:t>Prihodi i rashodi po ekonomskoj klasifikaciji utvrđuju se u Financijskom planu</w:t>
      </w:r>
      <w:r w:rsidR="00E81417">
        <w:t xml:space="preserve"> </w:t>
      </w:r>
      <w:r w:rsidR="00CD4E70">
        <w:t xml:space="preserve">za </w:t>
      </w:r>
      <w:r w:rsidR="00E81417">
        <w:t>20</w:t>
      </w:r>
      <w:r w:rsidR="00A365D7">
        <w:t>2</w:t>
      </w:r>
      <w:r w:rsidR="005C7626">
        <w:t>1</w:t>
      </w:r>
      <w:r w:rsidR="00ED7A03">
        <w:t>.</w:t>
      </w:r>
      <w:r w:rsidR="00E81417">
        <w:t>-20</w:t>
      </w:r>
      <w:r w:rsidR="00CD4E70">
        <w:t>2</w:t>
      </w:r>
      <w:r w:rsidR="005C7626">
        <w:t>3</w:t>
      </w:r>
      <w:r w:rsidR="00E81417">
        <w:t>.</w:t>
      </w:r>
      <w:r w:rsidR="00CD4E70">
        <w:t>godinu.</w:t>
      </w:r>
      <w:r w:rsidR="00A365D7">
        <w:t xml:space="preserve"> a prema Uputama za izradu proračuna Požeško-slavonske županije.</w:t>
      </w:r>
    </w:p>
    <w:p w:rsidR="00293D09" w:rsidRDefault="00293D09" w:rsidP="00724F3E">
      <w:pPr>
        <w:ind w:firstLine="708"/>
        <w:jc w:val="both"/>
      </w:pPr>
    </w:p>
    <w:p w:rsidR="00293D09" w:rsidRDefault="00293D09" w:rsidP="00724F3E">
      <w:pPr>
        <w:ind w:firstLine="708"/>
        <w:jc w:val="both"/>
      </w:pPr>
    </w:p>
    <w:p w:rsidR="00293D09" w:rsidRDefault="00293D09" w:rsidP="00293D09">
      <w:pPr>
        <w:ind w:firstLine="708"/>
        <w:jc w:val="both"/>
      </w:pPr>
      <w:r>
        <w:lastRenderedPageBreak/>
        <w:t>Financijski plan za 2021.g. sastoji se od:</w:t>
      </w:r>
    </w:p>
    <w:p w:rsidR="00293D09" w:rsidRDefault="00293D09" w:rsidP="00293D09">
      <w:pPr>
        <w:ind w:firstLine="708"/>
        <w:jc w:val="both"/>
      </w:pPr>
    </w:p>
    <w:p w:rsidR="00293D09" w:rsidRDefault="00293D09" w:rsidP="00293D09">
      <w:pPr>
        <w:ind w:firstLine="708"/>
        <w:jc w:val="both"/>
      </w:pPr>
    </w:p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5480"/>
        <w:gridCol w:w="2240"/>
      </w:tblGrid>
      <w:tr w:rsidR="00881753" w:rsidTr="003270C0">
        <w:trPr>
          <w:trHeight w:val="408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>IZVORI PRIHODA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>IZNOS</w:t>
            </w:r>
          </w:p>
        </w:tc>
      </w:tr>
      <w:tr w:rsidR="00881753" w:rsidTr="003270C0">
        <w:trPr>
          <w:trHeight w:val="31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rPr>
                <w:color w:val="000000"/>
              </w:rPr>
            </w:pPr>
            <w:r>
              <w:rPr>
                <w:color w:val="000000"/>
              </w:rPr>
              <w:t>Prihoda iz županijskog proračuna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53" w:rsidRDefault="00881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308.000,00</w:t>
            </w:r>
          </w:p>
        </w:tc>
      </w:tr>
      <w:tr w:rsidR="00881753" w:rsidTr="003270C0">
        <w:trPr>
          <w:trHeight w:val="31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rPr>
                <w:color w:val="000000"/>
              </w:rPr>
            </w:pPr>
            <w:r>
              <w:rPr>
                <w:color w:val="000000"/>
              </w:rPr>
              <w:t>Redovni prihodi Županija-NATJECANJA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2.000,00</w:t>
            </w:r>
          </w:p>
        </w:tc>
      </w:tr>
      <w:tr w:rsidR="00881753" w:rsidTr="003270C0">
        <w:trPr>
          <w:trHeight w:val="31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rPr>
                <w:color w:val="000000"/>
              </w:rPr>
            </w:pPr>
            <w:r>
              <w:rPr>
                <w:color w:val="000000"/>
              </w:rPr>
              <w:t xml:space="preserve">Prihodi iz </w:t>
            </w:r>
            <w:proofErr w:type="spellStart"/>
            <w:r>
              <w:rPr>
                <w:color w:val="000000"/>
              </w:rPr>
              <w:t>nadl.proračuna</w:t>
            </w:r>
            <w:proofErr w:type="spellEnd"/>
            <w:r>
              <w:rPr>
                <w:color w:val="000000"/>
              </w:rPr>
              <w:t>-zadruga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2.000,00</w:t>
            </w:r>
          </w:p>
        </w:tc>
      </w:tr>
      <w:tr w:rsidR="00881753" w:rsidTr="003270C0">
        <w:trPr>
          <w:trHeight w:val="31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UKUPNO REDOVNI PRIHODI ŽUPANIJE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312.000,00</w:t>
            </w:r>
          </w:p>
        </w:tc>
      </w:tr>
      <w:tr w:rsidR="00881753" w:rsidTr="00905247">
        <w:trPr>
          <w:trHeight w:val="31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rPr>
                <w:color w:val="000000"/>
              </w:rPr>
            </w:pPr>
            <w:r>
              <w:rPr>
                <w:color w:val="000000"/>
              </w:rPr>
              <w:t>Pomoći-Državni proračun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4.322.250,00</w:t>
            </w:r>
          </w:p>
        </w:tc>
      </w:tr>
      <w:tr w:rsidR="00881753" w:rsidTr="003270C0">
        <w:trPr>
          <w:trHeight w:val="31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53" w:rsidRDefault="008817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Pomoći iz općinskog proračuna                           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45.000,00</w:t>
            </w:r>
          </w:p>
        </w:tc>
      </w:tr>
      <w:tr w:rsidR="00881753" w:rsidTr="00905247">
        <w:trPr>
          <w:trHeight w:val="31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53" w:rsidRDefault="008817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Pomoći iz gradskog proračuna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2.000,00</w:t>
            </w:r>
          </w:p>
        </w:tc>
      </w:tr>
      <w:tr w:rsidR="00881753" w:rsidTr="003270C0">
        <w:trPr>
          <w:trHeight w:val="31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rPr>
                <w:color w:val="000000"/>
              </w:rPr>
            </w:pPr>
            <w:r>
              <w:rPr>
                <w:color w:val="000000"/>
              </w:rPr>
              <w:t>Pomoći-shema voća,mlijeka i meda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10.350,00</w:t>
            </w:r>
          </w:p>
        </w:tc>
      </w:tr>
      <w:tr w:rsidR="00881753" w:rsidTr="003270C0">
        <w:trPr>
          <w:trHeight w:val="31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rPr>
                <w:color w:val="000000"/>
              </w:rPr>
            </w:pPr>
            <w:r>
              <w:rPr>
                <w:color w:val="000000"/>
              </w:rPr>
              <w:t>Pomoći-PUN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127.220,00</w:t>
            </w:r>
          </w:p>
        </w:tc>
      </w:tr>
      <w:tr w:rsidR="00881753" w:rsidTr="003270C0">
        <w:trPr>
          <w:trHeight w:val="31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rPr>
                <w:color w:val="000000"/>
              </w:rPr>
            </w:pPr>
            <w:r>
              <w:rPr>
                <w:color w:val="000000"/>
              </w:rPr>
              <w:t>Pomoći-OBROK ZA 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43.500,00</w:t>
            </w:r>
          </w:p>
        </w:tc>
      </w:tr>
      <w:tr w:rsidR="00881753" w:rsidTr="003270C0">
        <w:trPr>
          <w:trHeight w:val="31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753" w:rsidRDefault="008817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Višak pomoći iz  2020.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2.000,00</w:t>
            </w:r>
          </w:p>
        </w:tc>
      </w:tr>
      <w:tr w:rsidR="00881753" w:rsidTr="003270C0">
        <w:trPr>
          <w:trHeight w:val="31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UKUPNO POMOĆI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4.552.320,00</w:t>
            </w:r>
          </w:p>
        </w:tc>
      </w:tr>
      <w:tr w:rsidR="00881753" w:rsidTr="003270C0">
        <w:trPr>
          <w:trHeight w:val="324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753" w:rsidRDefault="00881753">
            <w:pPr>
              <w:rPr>
                <w:color w:val="000000"/>
              </w:rPr>
            </w:pPr>
            <w:r>
              <w:rPr>
                <w:color w:val="000000"/>
              </w:rPr>
              <w:t>Prihodi za posebne namjene-prehrana učenika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753" w:rsidRDefault="00881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22.000,00</w:t>
            </w:r>
          </w:p>
        </w:tc>
      </w:tr>
      <w:tr w:rsidR="00881753" w:rsidTr="003270C0">
        <w:trPr>
          <w:trHeight w:val="324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753" w:rsidRDefault="00881753">
            <w:pPr>
              <w:rPr>
                <w:color w:val="000000"/>
              </w:rPr>
            </w:pPr>
            <w:r>
              <w:rPr>
                <w:color w:val="000000"/>
              </w:rPr>
              <w:t>Višak prehrana iz 2020.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753" w:rsidRDefault="00881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5.000,00</w:t>
            </w:r>
          </w:p>
        </w:tc>
      </w:tr>
      <w:tr w:rsidR="00881753" w:rsidTr="003270C0">
        <w:trPr>
          <w:trHeight w:val="312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UKUPNO PRIHODI ZA POSEBNE NAMJENE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27.000,00</w:t>
            </w:r>
          </w:p>
        </w:tc>
      </w:tr>
      <w:tr w:rsidR="00881753" w:rsidTr="003270C0">
        <w:trPr>
          <w:trHeight w:val="31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rPr>
                <w:color w:val="000000"/>
              </w:rPr>
            </w:pPr>
            <w:r>
              <w:rPr>
                <w:color w:val="000000"/>
              </w:rPr>
              <w:t>Donacije trgovačkih društava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1.000,00</w:t>
            </w:r>
          </w:p>
        </w:tc>
      </w:tr>
      <w:tr w:rsidR="00881753" w:rsidTr="003270C0">
        <w:trPr>
          <w:trHeight w:val="31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rPr>
                <w:color w:val="000000"/>
              </w:rPr>
            </w:pPr>
            <w:r>
              <w:rPr>
                <w:color w:val="000000"/>
              </w:rPr>
              <w:t>Vlastiti prihodi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1.500,00</w:t>
            </w:r>
          </w:p>
        </w:tc>
      </w:tr>
      <w:tr w:rsidR="00881753" w:rsidTr="003270C0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>UKUPNI PRIHODI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53" w:rsidRDefault="00881753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32"/>
                <w:szCs w:val="32"/>
              </w:rPr>
              <w:t>4.893.820,00</w:t>
            </w:r>
          </w:p>
        </w:tc>
      </w:tr>
    </w:tbl>
    <w:p w:rsidR="00293D09" w:rsidRDefault="00293D09" w:rsidP="00724F3E">
      <w:pPr>
        <w:ind w:firstLine="708"/>
        <w:jc w:val="both"/>
      </w:pPr>
    </w:p>
    <w:p w:rsidR="00293D09" w:rsidRDefault="00293D09" w:rsidP="00724F3E">
      <w:pPr>
        <w:ind w:firstLine="708"/>
        <w:jc w:val="both"/>
      </w:pPr>
    </w:p>
    <w:p w:rsidR="007E69BD" w:rsidRDefault="007E69BD" w:rsidP="00724F3E">
      <w:pPr>
        <w:ind w:firstLine="708"/>
        <w:jc w:val="both"/>
      </w:pPr>
    </w:p>
    <w:p w:rsidR="000304A3" w:rsidRDefault="000304A3" w:rsidP="00724F3E">
      <w:pPr>
        <w:ind w:firstLine="708"/>
        <w:jc w:val="both"/>
      </w:pPr>
    </w:p>
    <w:p w:rsidR="007E69BD" w:rsidRDefault="007E69BD" w:rsidP="00724F3E">
      <w:pPr>
        <w:ind w:firstLine="708"/>
        <w:jc w:val="both"/>
      </w:pPr>
    </w:p>
    <w:p w:rsidR="00E81417" w:rsidRDefault="00E81417" w:rsidP="00724F3E">
      <w:pPr>
        <w:ind w:firstLine="708"/>
        <w:jc w:val="both"/>
      </w:pPr>
      <w:r>
        <w:t xml:space="preserve">Rashodi poslovanja i rashodi za nefinancijsku imovinu </w:t>
      </w:r>
      <w:r w:rsidR="005C7626">
        <w:t>za 2021</w:t>
      </w:r>
      <w:r w:rsidR="00DD33B3">
        <w:t xml:space="preserve">.g. </w:t>
      </w:r>
      <w:r>
        <w:t xml:space="preserve">u ukupnom iznosu </w:t>
      </w:r>
      <w:r w:rsidR="00CD4E70">
        <w:t xml:space="preserve">od </w:t>
      </w:r>
      <w:r w:rsidR="00705B4D">
        <w:t>4.</w:t>
      </w:r>
      <w:r w:rsidR="00881753">
        <w:t xml:space="preserve">893.820,00 </w:t>
      </w:r>
      <w:r w:rsidR="0069644A">
        <w:t>kn</w:t>
      </w:r>
      <w:r w:rsidR="0054243A">
        <w:t xml:space="preserve"> ra</w:t>
      </w:r>
      <w:r>
        <w:t>spoređuju se po programima</w:t>
      </w:r>
      <w:r w:rsidR="00B2522C">
        <w:t xml:space="preserve"> i po izvorima</w:t>
      </w:r>
      <w:r>
        <w:t xml:space="preserve"> kako slijedi:</w:t>
      </w:r>
    </w:p>
    <w:p w:rsidR="007E69BD" w:rsidRDefault="007E69BD" w:rsidP="00724F3E">
      <w:pPr>
        <w:ind w:firstLine="708"/>
        <w:jc w:val="both"/>
      </w:pPr>
    </w:p>
    <w:p w:rsidR="003270C0" w:rsidRDefault="003270C0" w:rsidP="00724F3E">
      <w:pPr>
        <w:ind w:firstLine="708"/>
        <w:jc w:val="both"/>
      </w:pPr>
    </w:p>
    <w:p w:rsidR="00ED10D6" w:rsidRDefault="00ED10D6" w:rsidP="00724F3E">
      <w:pPr>
        <w:ind w:firstLine="708"/>
        <w:jc w:val="both"/>
      </w:pPr>
    </w:p>
    <w:p w:rsidR="003270C0" w:rsidRDefault="003270C0" w:rsidP="00724F3E">
      <w:pPr>
        <w:ind w:firstLine="708"/>
        <w:jc w:val="both"/>
      </w:pP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2806"/>
        <w:gridCol w:w="4843"/>
        <w:gridCol w:w="1896"/>
      </w:tblGrid>
      <w:tr w:rsidR="00ED10D6" w:rsidTr="00ED10D6">
        <w:trPr>
          <w:trHeight w:val="360"/>
        </w:trPr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KONTO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VRSTA RASHODA -izvor prihoda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PLANIRANO</w:t>
            </w:r>
          </w:p>
        </w:tc>
      </w:tr>
      <w:tr w:rsidR="00ED10D6" w:rsidTr="00ED10D6">
        <w:trPr>
          <w:trHeight w:val="360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D10D6" w:rsidTr="00ED10D6">
        <w:trPr>
          <w:trHeight w:val="360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D10D6" w:rsidTr="00ED10D6">
        <w:trPr>
          <w:trHeight w:val="399"/>
        </w:trPr>
        <w:tc>
          <w:tcPr>
            <w:tcW w:w="76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PROGRAM: </w:t>
            </w:r>
            <w:r>
              <w:rPr>
                <w:b/>
                <w:bCs/>
                <w:color w:val="000000"/>
              </w:rPr>
              <w:t>REDOVNA DJELATNOST OSNOVNOG ŠKOLSTVA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4.893.820,00</w:t>
            </w:r>
          </w:p>
        </w:tc>
      </w:tr>
      <w:tr w:rsidR="00ED10D6" w:rsidTr="00ED10D6">
        <w:trPr>
          <w:trHeight w:val="399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10D6" w:rsidTr="00ED10D6">
        <w:trPr>
          <w:trHeight w:val="360"/>
        </w:trPr>
        <w:tc>
          <w:tcPr>
            <w:tcW w:w="76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I. AKTIVNOST: Osnovna aktivnost osnovnog školstva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4.559.250,00</w:t>
            </w:r>
          </w:p>
        </w:tc>
      </w:tr>
      <w:tr w:rsidR="00ED10D6" w:rsidTr="00ED10D6">
        <w:trPr>
          <w:trHeight w:val="324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10D6" w:rsidTr="00ED10D6">
        <w:trPr>
          <w:trHeight w:val="360"/>
        </w:trPr>
        <w:tc>
          <w:tcPr>
            <w:tcW w:w="7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Izvor: Državni proračun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4.247.250,00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Rashodi poslovanja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4.247.250,00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Rashodi za zaposlene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4.107.500,00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Plaće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3.395.000,00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Ostali rashodi za zaposlene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152.500,00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Doprinosi na plaće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560.000,00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Materijalni rashodi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139.750,00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Naknade troškova zaposlenima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130.000,00</w:t>
            </w:r>
          </w:p>
        </w:tc>
      </w:tr>
      <w:tr w:rsidR="00ED10D6" w:rsidTr="00ED10D6">
        <w:trPr>
          <w:trHeight w:val="624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D6" w:rsidRDefault="00ED10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329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D6" w:rsidRDefault="00ED10D6">
            <w:r>
              <w:t>Novčana naknada poslodavca zbog nezapošljavanja osoba s invaliditetom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9.750,00</w:t>
            </w:r>
          </w:p>
        </w:tc>
      </w:tr>
      <w:tr w:rsidR="00ED10D6" w:rsidTr="00ED10D6">
        <w:trPr>
          <w:trHeight w:val="324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10D6" w:rsidTr="00ED10D6">
        <w:trPr>
          <w:trHeight w:val="360"/>
        </w:trPr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Izvor: Županijski proračun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312.000,00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Rashodi poslovanja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308.050,00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Materijalni rashodi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308.050,00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Naknade troškova zaposlenima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21.000,00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Rashodi za materijal i energiju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191.194,00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Rashodi za usluge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91.906,00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Ostali nespomenuti rashodi poslovanja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3.950,00</w:t>
            </w:r>
          </w:p>
        </w:tc>
      </w:tr>
      <w:tr w:rsidR="00ED10D6" w:rsidTr="00ED10D6">
        <w:trPr>
          <w:trHeight w:val="360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10D6" w:rsidTr="00ED10D6">
        <w:trPr>
          <w:trHeight w:val="288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10D6" w:rsidTr="00ED10D6">
        <w:trPr>
          <w:trHeight w:val="360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10D6" w:rsidTr="00ED10D6">
        <w:trPr>
          <w:trHeight w:val="360"/>
        </w:trPr>
        <w:tc>
          <w:tcPr>
            <w:tcW w:w="76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II. AKTIVNOST:Obrazujmo se zajedno (PUN)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127.220,00</w:t>
            </w:r>
          </w:p>
        </w:tc>
      </w:tr>
      <w:tr w:rsidR="00ED10D6" w:rsidTr="00ED10D6">
        <w:trPr>
          <w:trHeight w:val="420"/>
        </w:trPr>
        <w:tc>
          <w:tcPr>
            <w:tcW w:w="94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0D6" w:rsidRDefault="00ED10D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D10D6" w:rsidTr="00ED10D6">
        <w:trPr>
          <w:trHeight w:val="288"/>
        </w:trPr>
        <w:tc>
          <w:tcPr>
            <w:tcW w:w="7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Izvor:POMOĆI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127.220,00</w:t>
            </w:r>
          </w:p>
        </w:tc>
      </w:tr>
      <w:tr w:rsidR="00ED10D6" w:rsidTr="00ED10D6">
        <w:trPr>
          <w:trHeight w:val="288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127.220,00</w:t>
            </w:r>
          </w:p>
        </w:tc>
      </w:tr>
      <w:tr w:rsidR="00ED10D6" w:rsidTr="00ED10D6">
        <w:trPr>
          <w:trHeight w:val="288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109.220,00</w:t>
            </w:r>
          </w:p>
        </w:tc>
      </w:tr>
      <w:tr w:rsidR="00ED10D6" w:rsidTr="00ED10D6">
        <w:trPr>
          <w:trHeight w:val="288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Plaće(Bruto)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93.750,00</w:t>
            </w:r>
          </w:p>
        </w:tc>
      </w:tr>
      <w:tr w:rsidR="00ED10D6" w:rsidTr="00ED10D6">
        <w:trPr>
          <w:trHeight w:val="288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Doprinosi na plaće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15.470,00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Materijalni rashodi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18.000,00</w:t>
            </w:r>
          </w:p>
        </w:tc>
      </w:tr>
      <w:tr w:rsidR="00ED10D6" w:rsidTr="00ED10D6">
        <w:trPr>
          <w:trHeight w:val="324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Naknade troškova zaposlenima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18.000,00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10D6" w:rsidTr="00ED10D6">
        <w:trPr>
          <w:trHeight w:val="360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10D6" w:rsidTr="00ED10D6">
        <w:trPr>
          <w:trHeight w:val="348"/>
        </w:trPr>
        <w:tc>
          <w:tcPr>
            <w:tcW w:w="76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III. AKTIVNOST: Prehrana učenika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80.850,00</w:t>
            </w:r>
          </w:p>
        </w:tc>
      </w:tr>
      <w:tr w:rsidR="00ED10D6" w:rsidTr="00ED10D6">
        <w:trPr>
          <w:trHeight w:val="372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10D6" w:rsidTr="00ED10D6">
        <w:trPr>
          <w:trHeight w:val="360"/>
        </w:trPr>
        <w:tc>
          <w:tcPr>
            <w:tcW w:w="7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Izvor: Prihodi za posebne namjene -sufinanciranje + višak iz 2020.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27.000,00</w:t>
            </w:r>
          </w:p>
        </w:tc>
      </w:tr>
      <w:tr w:rsidR="00ED10D6" w:rsidTr="00ED10D6">
        <w:trPr>
          <w:trHeight w:val="288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27.000,00</w:t>
            </w:r>
          </w:p>
        </w:tc>
      </w:tr>
      <w:tr w:rsidR="00ED10D6" w:rsidTr="00ED10D6">
        <w:trPr>
          <w:trHeight w:val="288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27.000,00</w:t>
            </w:r>
          </w:p>
        </w:tc>
      </w:tr>
      <w:tr w:rsidR="00ED10D6" w:rsidTr="00ED10D6">
        <w:trPr>
          <w:trHeight w:val="300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22.000,00</w:t>
            </w:r>
          </w:p>
        </w:tc>
      </w:tr>
      <w:tr w:rsidR="00ED10D6" w:rsidTr="00ED10D6">
        <w:trPr>
          <w:trHeight w:val="300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10D6" w:rsidTr="00ED10D6">
        <w:trPr>
          <w:trHeight w:val="372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10D6" w:rsidTr="00ED10D6">
        <w:trPr>
          <w:trHeight w:val="360"/>
        </w:trPr>
        <w:tc>
          <w:tcPr>
            <w:tcW w:w="7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Izvor: POMOĆI -Obrok za V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43.500,00</w:t>
            </w:r>
          </w:p>
        </w:tc>
      </w:tr>
      <w:tr w:rsidR="00ED10D6" w:rsidTr="00ED10D6">
        <w:trPr>
          <w:trHeight w:val="288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43.500,00</w:t>
            </w:r>
          </w:p>
        </w:tc>
      </w:tr>
      <w:tr w:rsidR="00ED10D6" w:rsidTr="00ED10D6">
        <w:trPr>
          <w:trHeight w:val="288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43.500,00</w:t>
            </w:r>
          </w:p>
        </w:tc>
      </w:tr>
      <w:tr w:rsidR="00ED10D6" w:rsidTr="00ED10D6">
        <w:trPr>
          <w:trHeight w:val="300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43.500,00</w:t>
            </w:r>
          </w:p>
        </w:tc>
      </w:tr>
      <w:tr w:rsidR="00ED10D6" w:rsidTr="00ED10D6">
        <w:trPr>
          <w:trHeight w:val="372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10D6" w:rsidTr="00ED10D6">
        <w:trPr>
          <w:trHeight w:val="360"/>
        </w:trPr>
        <w:tc>
          <w:tcPr>
            <w:tcW w:w="7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Izvor: POMOĆI -Shema voća, mlijeka i meda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10.350,00</w:t>
            </w:r>
          </w:p>
        </w:tc>
      </w:tr>
      <w:tr w:rsidR="00ED10D6" w:rsidTr="00ED10D6">
        <w:trPr>
          <w:trHeight w:val="288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10.350,00</w:t>
            </w:r>
          </w:p>
        </w:tc>
      </w:tr>
      <w:tr w:rsidR="00ED10D6" w:rsidTr="00ED10D6">
        <w:trPr>
          <w:trHeight w:val="288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10.350,00</w:t>
            </w:r>
          </w:p>
        </w:tc>
      </w:tr>
      <w:tr w:rsidR="00ED10D6" w:rsidTr="00ED10D6">
        <w:trPr>
          <w:trHeight w:val="300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10.350,00</w:t>
            </w:r>
          </w:p>
        </w:tc>
      </w:tr>
      <w:tr w:rsidR="00ED10D6" w:rsidTr="00ED10D6">
        <w:trPr>
          <w:trHeight w:val="288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10D6" w:rsidTr="00ED10D6">
        <w:trPr>
          <w:trHeight w:val="288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10D6" w:rsidTr="00ED10D6">
        <w:trPr>
          <w:trHeight w:val="348"/>
        </w:trPr>
        <w:tc>
          <w:tcPr>
            <w:tcW w:w="76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IV. AKTIVNOST: Učenička zadruga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9.500,00</w:t>
            </w:r>
          </w:p>
        </w:tc>
      </w:tr>
      <w:tr w:rsidR="00ED10D6" w:rsidTr="00ED10D6">
        <w:trPr>
          <w:trHeight w:val="360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D10D6" w:rsidTr="00ED10D6">
        <w:trPr>
          <w:trHeight w:val="360"/>
        </w:trPr>
        <w:tc>
          <w:tcPr>
            <w:tcW w:w="7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Izvor: Vlastiti prihodi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1.500,00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Materijalni rashodi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1.500,00</w:t>
            </w:r>
          </w:p>
        </w:tc>
      </w:tr>
      <w:tr w:rsidR="00ED10D6" w:rsidTr="00ED10D6">
        <w:trPr>
          <w:trHeight w:val="324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1.500,00</w:t>
            </w:r>
          </w:p>
        </w:tc>
      </w:tr>
      <w:tr w:rsidR="00ED10D6" w:rsidTr="00ED10D6">
        <w:trPr>
          <w:trHeight w:val="360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D10D6" w:rsidTr="00ED10D6">
        <w:trPr>
          <w:trHeight w:val="360"/>
        </w:trPr>
        <w:tc>
          <w:tcPr>
            <w:tcW w:w="7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Izvor:POMOĆI-Županija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2.000,00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Rashodi poslovanja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Materijalni rashodi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2.000,00</w:t>
            </w:r>
          </w:p>
        </w:tc>
      </w:tr>
      <w:tr w:rsidR="00ED10D6" w:rsidTr="00ED10D6">
        <w:trPr>
          <w:trHeight w:val="324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Naknade troškova zaposlenima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2.000,00</w:t>
            </w:r>
          </w:p>
        </w:tc>
      </w:tr>
      <w:tr w:rsidR="00ED10D6" w:rsidTr="00ED10D6">
        <w:trPr>
          <w:trHeight w:val="300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10D6" w:rsidTr="00ED10D6">
        <w:trPr>
          <w:trHeight w:val="360"/>
        </w:trPr>
        <w:tc>
          <w:tcPr>
            <w:tcW w:w="7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Izvor: Tekuće pomoći iz općinskog i gradskog proračuna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5.000,00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Materijalni rashodi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3.000,00</w:t>
            </w:r>
          </w:p>
        </w:tc>
      </w:tr>
      <w:tr w:rsidR="00ED10D6" w:rsidTr="00ED10D6">
        <w:trPr>
          <w:trHeight w:val="288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3.000,00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D6" w:rsidRDefault="00ED10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D6" w:rsidRDefault="00ED10D6">
            <w:r>
              <w:t>Proizvedena dugotrajna imovina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2.000,00</w:t>
            </w:r>
          </w:p>
        </w:tc>
      </w:tr>
      <w:tr w:rsidR="00ED10D6" w:rsidTr="00ED10D6">
        <w:trPr>
          <w:trHeight w:val="324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0D6" w:rsidRDefault="00ED10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0D6" w:rsidRDefault="00ED10D6">
            <w:r>
              <w:t>Postrojenja i oprema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2.000,00</w:t>
            </w:r>
          </w:p>
        </w:tc>
      </w:tr>
      <w:tr w:rsidR="00ED10D6" w:rsidTr="00ED10D6">
        <w:trPr>
          <w:trHeight w:val="300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10D6" w:rsidTr="00ED10D6">
        <w:trPr>
          <w:trHeight w:val="360"/>
        </w:trPr>
        <w:tc>
          <w:tcPr>
            <w:tcW w:w="7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Izvor: Donacije subjekata izvan općeg proračuna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D6" w:rsidRDefault="00ED10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D6" w:rsidRDefault="00ED10D6">
            <w:r>
              <w:t>Proizvedena dugotrajna imovina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1.000,00</w:t>
            </w:r>
          </w:p>
        </w:tc>
      </w:tr>
      <w:tr w:rsidR="00ED10D6" w:rsidTr="00ED10D6">
        <w:trPr>
          <w:trHeight w:val="324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0D6" w:rsidRDefault="00ED10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0D6" w:rsidRDefault="00ED10D6">
            <w:r>
              <w:t>Postrojenja i oprema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10D6" w:rsidRDefault="00ED10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0D6" w:rsidRDefault="00ED10D6"/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10D6" w:rsidTr="00ED10D6">
        <w:trPr>
          <w:trHeight w:val="288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10D6" w:rsidTr="00ED10D6">
        <w:trPr>
          <w:trHeight w:val="348"/>
        </w:trPr>
        <w:tc>
          <w:tcPr>
            <w:tcW w:w="76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V. AKTIVNOST: Program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Tiffany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2.000,00</w:t>
            </w:r>
          </w:p>
        </w:tc>
      </w:tr>
      <w:tr w:rsidR="00ED10D6" w:rsidTr="00ED10D6">
        <w:trPr>
          <w:trHeight w:val="360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10D6" w:rsidTr="00ED10D6">
        <w:trPr>
          <w:trHeight w:val="360"/>
        </w:trPr>
        <w:tc>
          <w:tcPr>
            <w:tcW w:w="7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Izvor: POMOĆI (višak iz 2020)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Materijalni rashodi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2.000,00</w:t>
            </w:r>
          </w:p>
        </w:tc>
      </w:tr>
      <w:tr w:rsidR="00ED10D6" w:rsidTr="00ED10D6">
        <w:trPr>
          <w:trHeight w:val="324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color w:val="000000"/>
              </w:rPr>
            </w:pPr>
            <w:r>
              <w:rPr>
                <w:color w:val="000000"/>
              </w:rPr>
              <w:t>Naknade troškova zaposlenima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2.000,00</w:t>
            </w:r>
          </w:p>
        </w:tc>
      </w:tr>
      <w:tr w:rsidR="00ED10D6" w:rsidTr="00ED10D6">
        <w:trPr>
          <w:trHeight w:val="288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10D6" w:rsidTr="00ED10D6">
        <w:trPr>
          <w:trHeight w:val="288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10D6" w:rsidTr="00ED10D6">
        <w:trPr>
          <w:trHeight w:val="288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10D6" w:rsidTr="00ED10D6">
        <w:trPr>
          <w:trHeight w:val="360"/>
        </w:trPr>
        <w:tc>
          <w:tcPr>
            <w:tcW w:w="76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0D6" w:rsidRDefault="00ED10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VII. AKTIVNOST:RADNI MATERIJALI I UDŽBENICI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115.000,00</w:t>
            </w:r>
          </w:p>
        </w:tc>
      </w:tr>
      <w:tr w:rsidR="00ED10D6" w:rsidTr="00ED10D6">
        <w:trPr>
          <w:trHeight w:val="300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10D6" w:rsidTr="00ED10D6">
        <w:trPr>
          <w:trHeight w:val="360"/>
        </w:trPr>
        <w:tc>
          <w:tcPr>
            <w:tcW w:w="7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Izvor: POMOĆI-Općinski proračun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40.000,00</w:t>
            </w:r>
          </w:p>
        </w:tc>
      </w:tr>
      <w:tr w:rsidR="00ED10D6" w:rsidTr="00ED10D6">
        <w:trPr>
          <w:trHeight w:val="288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40.000,00</w:t>
            </w:r>
          </w:p>
        </w:tc>
      </w:tr>
      <w:tr w:rsidR="00ED10D6" w:rsidTr="00ED10D6">
        <w:trPr>
          <w:trHeight w:val="288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Naknade građanima i kućanstvima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40.000,00</w:t>
            </w:r>
          </w:p>
        </w:tc>
      </w:tr>
      <w:tr w:rsidR="00ED10D6" w:rsidTr="00ED10D6">
        <w:trPr>
          <w:trHeight w:val="300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D6" w:rsidRDefault="00ED1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Ostale naknade građanima i kućanstvima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40.000,00</w:t>
            </w:r>
          </w:p>
        </w:tc>
      </w:tr>
      <w:tr w:rsidR="00ED10D6" w:rsidTr="00ED10D6">
        <w:trPr>
          <w:trHeight w:val="300"/>
        </w:trPr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10D6" w:rsidTr="00ED10D6">
        <w:trPr>
          <w:trHeight w:val="360"/>
        </w:trPr>
        <w:tc>
          <w:tcPr>
            <w:tcW w:w="7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Izvor: -POMOĆI-Državni proračun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75.000,00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D6" w:rsidRDefault="00ED10D6">
            <w:pPr>
              <w:jc w:val="right"/>
            </w:pPr>
            <w:r>
              <w:t>37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D6" w:rsidRDefault="00ED10D6">
            <w:r>
              <w:t>Naknade građanima i kućanstvima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43.000,00</w:t>
            </w:r>
          </w:p>
        </w:tc>
      </w:tr>
      <w:tr w:rsidR="00ED10D6" w:rsidTr="00ED10D6">
        <w:trPr>
          <w:trHeight w:val="624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D6" w:rsidRDefault="00ED10D6">
            <w:r>
              <w:t>Naknade građanima i kućanstvima u naravi-radni materijali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43.000,00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D6" w:rsidRDefault="00ED10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D6" w:rsidRDefault="00ED10D6">
            <w:r>
              <w:t>Nefinancijska imovina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32.000,00</w:t>
            </w:r>
          </w:p>
        </w:tc>
      </w:tr>
      <w:tr w:rsidR="00ED10D6" w:rsidTr="00ED10D6">
        <w:trPr>
          <w:trHeight w:val="312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D6" w:rsidRDefault="00ED10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D6" w:rsidRDefault="00ED10D6">
            <w:r>
              <w:t>Proizvedena dugotrajna imovina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32.000,00</w:t>
            </w:r>
          </w:p>
        </w:tc>
      </w:tr>
      <w:tr w:rsidR="00ED10D6" w:rsidTr="00ED10D6">
        <w:trPr>
          <w:trHeight w:val="324"/>
        </w:trPr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0D6" w:rsidRDefault="00ED10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0D6" w:rsidRDefault="00ED10D6">
            <w:r>
              <w:t>Knjige-udžbenici za učenike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D6" w:rsidRDefault="00ED1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32.000,00</w:t>
            </w:r>
          </w:p>
        </w:tc>
      </w:tr>
    </w:tbl>
    <w:p w:rsidR="003270C0" w:rsidRDefault="003270C0" w:rsidP="00724F3E">
      <w:pPr>
        <w:ind w:firstLine="708"/>
        <w:jc w:val="both"/>
      </w:pPr>
    </w:p>
    <w:p w:rsidR="003270C0" w:rsidRDefault="003270C0" w:rsidP="00724F3E">
      <w:pPr>
        <w:ind w:firstLine="708"/>
        <w:jc w:val="both"/>
      </w:pPr>
    </w:p>
    <w:p w:rsidR="007E69BD" w:rsidRDefault="007E69BD" w:rsidP="00724F3E">
      <w:pPr>
        <w:ind w:firstLine="708"/>
        <w:jc w:val="both"/>
      </w:pPr>
    </w:p>
    <w:p w:rsidR="005C7626" w:rsidRDefault="005C7626" w:rsidP="00724F3E">
      <w:pPr>
        <w:ind w:firstLine="708"/>
        <w:jc w:val="both"/>
      </w:pPr>
    </w:p>
    <w:p w:rsidR="00293D09" w:rsidRDefault="00293D09" w:rsidP="00293D09">
      <w:pPr>
        <w:ind w:firstLine="708"/>
        <w:jc w:val="both"/>
      </w:pPr>
      <w:r>
        <w:t>Navedeni  rashodi i prihodi planirani su prema Uputama za izradu proračuna jedinica lokalne i područne samouprave za razdoblje 2021.-2023. godine i danim limitima, a za prihode za posebne namjene, korišteni su podaci prijašnjih godina o broju učenika koji koriste školsku kuhinju.</w:t>
      </w:r>
    </w:p>
    <w:p w:rsidR="00293D09" w:rsidRDefault="00293D09" w:rsidP="00293D09">
      <w:pPr>
        <w:ind w:firstLine="708"/>
        <w:jc w:val="both"/>
      </w:pPr>
    </w:p>
    <w:p w:rsidR="00293D09" w:rsidRDefault="00293D09" w:rsidP="00293D09">
      <w:pPr>
        <w:ind w:firstLine="708"/>
        <w:jc w:val="both"/>
      </w:pPr>
      <w:r>
        <w:t>Izračun rashoda za zaposlene rađen je na osnovi sadašnjeg broja zaposlenih (31 djelatnika i 3 pomoćnika u nastavi). Rashodi za zaposlene se financiraju iz državnog proračuna.</w:t>
      </w:r>
    </w:p>
    <w:p w:rsidR="007E69BD" w:rsidRDefault="00D30378" w:rsidP="00724F3E">
      <w:pPr>
        <w:ind w:firstLine="708"/>
        <w:jc w:val="both"/>
      </w:pPr>
      <w:r>
        <w:t xml:space="preserve">Posebno treba naglasiti da smo </w:t>
      </w:r>
      <w:r w:rsidR="003270C0">
        <w:t xml:space="preserve">u prijedlogu financijskog plana predvidjeli </w:t>
      </w:r>
      <w:r>
        <w:t xml:space="preserve"> investicijska ulaganja kako u Matičnoj školi (popravak i proširenje postojećeg </w:t>
      </w:r>
      <w:r w:rsidR="00605DB4">
        <w:t>prilaza i ulaza u Školu</w:t>
      </w:r>
      <w:r>
        <w:t xml:space="preserve">, a nakon završene energetske </w:t>
      </w:r>
      <w:r w:rsidR="00605DB4">
        <w:t>obnove) kao i ličenje fasade u P</w:t>
      </w:r>
      <w:r>
        <w:t xml:space="preserve">odručnoj školi, </w:t>
      </w:r>
      <w:r w:rsidR="003270C0">
        <w:t xml:space="preserve">te nabavku arhivskih ormara, no isto nije uvršteno </w:t>
      </w:r>
      <w:r w:rsidR="00760CDC">
        <w:t xml:space="preserve">u Plan za 2021. godinu </w:t>
      </w:r>
      <w:r w:rsidR="003270C0">
        <w:t>obzirom da nije prihvaćeno od strane Županije</w:t>
      </w:r>
      <w:r w:rsidR="00760CDC">
        <w:t xml:space="preserve"> ali smo to uvrstili u projekcije za 2022</w:t>
      </w:r>
      <w:r w:rsidR="003270C0">
        <w:t>.</w:t>
      </w:r>
      <w:r w:rsidR="00760CDC">
        <w:t>i 2023. godinu.</w:t>
      </w:r>
    </w:p>
    <w:p w:rsidR="007E69BD" w:rsidRDefault="007E69BD" w:rsidP="00724F3E">
      <w:pPr>
        <w:ind w:firstLine="708"/>
        <w:jc w:val="both"/>
      </w:pPr>
    </w:p>
    <w:p w:rsidR="007E69BD" w:rsidRDefault="007E69BD" w:rsidP="00724F3E">
      <w:pPr>
        <w:ind w:firstLine="708"/>
        <w:jc w:val="both"/>
      </w:pPr>
    </w:p>
    <w:p w:rsidR="007E69BD" w:rsidRDefault="007E69BD" w:rsidP="00724F3E">
      <w:pPr>
        <w:ind w:firstLine="708"/>
        <w:jc w:val="both"/>
      </w:pPr>
    </w:p>
    <w:p w:rsidR="00703CB6" w:rsidRDefault="00703CB6" w:rsidP="00724F3E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FFFF"/>
          <w:sz w:val="18"/>
          <w:szCs w:val="18"/>
        </w:rPr>
      </w:pPr>
      <w:r>
        <w:rPr>
          <w:rFonts w:ascii="Calibri,Bold" w:hAnsi="Calibri,Bold" w:cs="Calibri,Bold"/>
          <w:b/>
          <w:bCs/>
          <w:color w:val="FFFFFF"/>
          <w:sz w:val="18"/>
          <w:szCs w:val="18"/>
        </w:rPr>
        <w:t xml:space="preserve">  </w:t>
      </w:r>
    </w:p>
    <w:p w:rsidR="00B2522C" w:rsidRDefault="00B2522C" w:rsidP="006072C6">
      <w:pPr>
        <w:jc w:val="both"/>
        <w:rPr>
          <w:b/>
          <w:i/>
        </w:rPr>
      </w:pPr>
    </w:p>
    <w:p w:rsidR="008C1336" w:rsidRDefault="008C1336" w:rsidP="006072C6">
      <w:pPr>
        <w:jc w:val="both"/>
        <w:rPr>
          <w:b/>
          <w:i/>
        </w:rPr>
      </w:pPr>
      <w:r w:rsidRPr="000A349D">
        <w:rPr>
          <w:b/>
          <w:i/>
        </w:rPr>
        <w:t>Pokazatelji rezultata škole:</w:t>
      </w:r>
    </w:p>
    <w:p w:rsidR="00F576B9" w:rsidRDefault="00F576B9" w:rsidP="006072C6">
      <w:pPr>
        <w:jc w:val="both"/>
        <w:rPr>
          <w:b/>
          <w:i/>
        </w:rPr>
      </w:pPr>
    </w:p>
    <w:p w:rsidR="007E69BD" w:rsidRDefault="007E69BD" w:rsidP="006072C6">
      <w:pPr>
        <w:jc w:val="both"/>
        <w:rPr>
          <w:b/>
          <w:i/>
        </w:rPr>
      </w:pPr>
    </w:p>
    <w:p w:rsidR="001815C3" w:rsidRPr="001815C3" w:rsidRDefault="001815C3" w:rsidP="001815C3">
      <w:pPr>
        <w:jc w:val="both"/>
      </w:pPr>
      <w:r w:rsidRPr="001815C3">
        <w:t xml:space="preserve">Jedan od glavnih pokazatelja uspješnosti provođenja programa rezultati su koje učenici škole postižu na natjecanjima znanja, susreta i smotrama od Županije preko regionalne do državne razine. Praćenje uspješnosti velikog broja učenika koji završavanju ovu školu s odličnim i vrlo dobrim uspjehom te upisuju željene srednje škole ukazuje na kvalitetan rad naših zaposlenika. </w:t>
      </w:r>
    </w:p>
    <w:p w:rsidR="008C1336" w:rsidRDefault="008C1336" w:rsidP="008C1336">
      <w:pPr>
        <w:ind w:firstLine="708"/>
        <w:jc w:val="both"/>
        <w:rPr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240"/>
        <w:gridCol w:w="720"/>
        <w:gridCol w:w="657"/>
        <w:gridCol w:w="1276"/>
        <w:gridCol w:w="709"/>
        <w:gridCol w:w="709"/>
        <w:gridCol w:w="789"/>
      </w:tblGrid>
      <w:tr w:rsidR="008C1336" w:rsidRPr="00237D35" w:rsidTr="00091083">
        <w:trPr>
          <w:cantSplit/>
          <w:trHeight w:val="1188"/>
        </w:trPr>
        <w:tc>
          <w:tcPr>
            <w:tcW w:w="1728" w:type="dxa"/>
          </w:tcPr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Pokazatelj rezultata</w:t>
            </w:r>
          </w:p>
        </w:tc>
        <w:tc>
          <w:tcPr>
            <w:tcW w:w="3240" w:type="dxa"/>
          </w:tcPr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Definicija</w:t>
            </w:r>
          </w:p>
        </w:tc>
        <w:tc>
          <w:tcPr>
            <w:tcW w:w="720" w:type="dxa"/>
            <w:textDirection w:val="btLr"/>
          </w:tcPr>
          <w:p w:rsidR="008C1336" w:rsidRDefault="008C1336" w:rsidP="00CE083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Jedinica</w:t>
            </w:r>
          </w:p>
        </w:tc>
        <w:tc>
          <w:tcPr>
            <w:tcW w:w="657" w:type="dxa"/>
            <w:textDirection w:val="btLr"/>
          </w:tcPr>
          <w:p w:rsidR="008C1336" w:rsidRDefault="008C1336" w:rsidP="00FD3FE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Polazna vrijednost</w:t>
            </w:r>
          </w:p>
        </w:tc>
        <w:tc>
          <w:tcPr>
            <w:tcW w:w="1276" w:type="dxa"/>
            <w:textDirection w:val="btLr"/>
          </w:tcPr>
          <w:p w:rsidR="008C1336" w:rsidRDefault="008C1336" w:rsidP="00CE083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podataka</w:t>
            </w:r>
          </w:p>
        </w:tc>
        <w:tc>
          <w:tcPr>
            <w:tcW w:w="709" w:type="dxa"/>
            <w:textDirection w:val="btLr"/>
          </w:tcPr>
          <w:p w:rsidR="008C1336" w:rsidRDefault="008C1336" w:rsidP="00CE083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Ciljana vrijednost </w:t>
            </w:r>
          </w:p>
          <w:p w:rsidR="008C1336" w:rsidRDefault="00213E49" w:rsidP="00F174A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</w:t>
            </w:r>
            <w:r w:rsidR="009F3E88">
              <w:rPr>
                <w:sz w:val="18"/>
                <w:szCs w:val="18"/>
              </w:rPr>
              <w:t>21</w:t>
            </w:r>
            <w:r w:rsidR="008C1336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  <w:textDirection w:val="btLr"/>
          </w:tcPr>
          <w:p w:rsidR="008C1336" w:rsidRDefault="00213E49" w:rsidP="00F174A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 (202</w:t>
            </w:r>
            <w:r w:rsidR="009F3E88">
              <w:rPr>
                <w:sz w:val="18"/>
                <w:szCs w:val="18"/>
              </w:rPr>
              <w:t>2</w:t>
            </w:r>
            <w:r w:rsidR="008C1336">
              <w:rPr>
                <w:sz w:val="18"/>
                <w:szCs w:val="18"/>
              </w:rPr>
              <w:t>.)</w:t>
            </w:r>
          </w:p>
        </w:tc>
        <w:tc>
          <w:tcPr>
            <w:tcW w:w="789" w:type="dxa"/>
            <w:textDirection w:val="btLr"/>
          </w:tcPr>
          <w:p w:rsidR="008C1336" w:rsidRDefault="00213E49" w:rsidP="00F174A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(202</w:t>
            </w:r>
            <w:r w:rsidR="009F3E88">
              <w:rPr>
                <w:sz w:val="18"/>
                <w:szCs w:val="18"/>
              </w:rPr>
              <w:t>3</w:t>
            </w:r>
            <w:r w:rsidR="00265EAD">
              <w:rPr>
                <w:sz w:val="18"/>
                <w:szCs w:val="18"/>
              </w:rPr>
              <w:t>.</w:t>
            </w:r>
            <w:r w:rsidR="008C1336">
              <w:rPr>
                <w:sz w:val="18"/>
                <w:szCs w:val="18"/>
              </w:rPr>
              <w:t>)</w:t>
            </w:r>
          </w:p>
        </w:tc>
      </w:tr>
      <w:tr w:rsidR="00E52530" w:rsidRPr="00237D35" w:rsidTr="009F3E88">
        <w:trPr>
          <w:trHeight w:val="1086"/>
        </w:trPr>
        <w:tc>
          <w:tcPr>
            <w:tcW w:w="1728" w:type="dxa"/>
          </w:tcPr>
          <w:p w:rsidR="00E52530" w:rsidRPr="003D278E" w:rsidRDefault="00E52530" w:rsidP="00E52530">
            <w:pPr>
              <w:rPr>
                <w:sz w:val="20"/>
                <w:szCs w:val="20"/>
                <w:lang w:val="pl-PL"/>
              </w:rPr>
            </w:pPr>
            <w:r w:rsidRPr="003D278E">
              <w:rPr>
                <w:sz w:val="20"/>
                <w:szCs w:val="20"/>
                <w:lang w:val="pl-PL"/>
              </w:rPr>
              <w:t>Povećanje broja školskih projekata/priredbi/manifestacija</w:t>
            </w:r>
          </w:p>
        </w:tc>
        <w:tc>
          <w:tcPr>
            <w:tcW w:w="3240" w:type="dxa"/>
          </w:tcPr>
          <w:p w:rsidR="00E52530" w:rsidRPr="003D278E" w:rsidRDefault="00E52530" w:rsidP="00E52530">
            <w:pPr>
              <w:rPr>
                <w:sz w:val="20"/>
                <w:szCs w:val="20"/>
                <w:lang w:val="pl-PL"/>
              </w:rPr>
            </w:pPr>
            <w:r w:rsidRPr="003D278E">
              <w:rPr>
                <w:sz w:val="20"/>
                <w:szCs w:val="20"/>
                <w:lang w:val="pl-PL"/>
              </w:rPr>
              <w:t>Učenike se potiče na izražavanje kreativnosti, talenata i sposobnosti kroz ovakve aktivnosti</w:t>
            </w:r>
          </w:p>
        </w:tc>
        <w:tc>
          <w:tcPr>
            <w:tcW w:w="720" w:type="dxa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657" w:type="dxa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9F3E88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52530" w:rsidRDefault="00E52530" w:rsidP="00E52530">
            <w:pPr>
              <w:rPr>
                <w:b/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</w:t>
            </w:r>
          </w:p>
          <w:p w:rsidR="00E52530" w:rsidRDefault="00E52530" w:rsidP="00E525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</w:t>
            </w:r>
          </w:p>
          <w:p w:rsidR="00E52530" w:rsidRDefault="00E52530" w:rsidP="00E525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vanjski suradnici</w:t>
            </w:r>
          </w:p>
        </w:tc>
        <w:tc>
          <w:tcPr>
            <w:tcW w:w="709" w:type="dxa"/>
            <w:vAlign w:val="center"/>
          </w:tcPr>
          <w:p w:rsidR="00E52530" w:rsidRDefault="00E52530" w:rsidP="009F3E88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9F3E88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9F3E88">
            <w:pPr>
              <w:jc w:val="center"/>
              <w:rPr>
                <w:sz w:val="18"/>
                <w:szCs w:val="18"/>
              </w:rPr>
            </w:pPr>
          </w:p>
          <w:p w:rsidR="009F3E88" w:rsidRDefault="009F3E88" w:rsidP="009F3E88">
            <w:pPr>
              <w:jc w:val="center"/>
              <w:rPr>
                <w:sz w:val="18"/>
                <w:szCs w:val="18"/>
              </w:rPr>
            </w:pPr>
          </w:p>
          <w:p w:rsidR="00E52530" w:rsidRDefault="009F3E88" w:rsidP="009F3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E52530" w:rsidRDefault="00E52530" w:rsidP="009F3E88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9F3E88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9F3E88">
            <w:pPr>
              <w:rPr>
                <w:sz w:val="18"/>
                <w:szCs w:val="18"/>
              </w:rPr>
            </w:pPr>
          </w:p>
          <w:p w:rsidR="009F3E88" w:rsidRDefault="009F3E88" w:rsidP="009F3E88">
            <w:pPr>
              <w:jc w:val="center"/>
              <w:rPr>
                <w:sz w:val="18"/>
                <w:szCs w:val="18"/>
              </w:rPr>
            </w:pPr>
          </w:p>
          <w:p w:rsidR="00E52530" w:rsidRDefault="009F3E88" w:rsidP="009F3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9" w:type="dxa"/>
            <w:vAlign w:val="center"/>
          </w:tcPr>
          <w:p w:rsidR="00E52530" w:rsidRDefault="00E52530" w:rsidP="009F3E88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9F3E88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9F3E88">
            <w:pPr>
              <w:jc w:val="center"/>
              <w:rPr>
                <w:sz w:val="18"/>
                <w:szCs w:val="18"/>
              </w:rPr>
            </w:pPr>
          </w:p>
          <w:p w:rsidR="009F3E88" w:rsidRDefault="009F3E88" w:rsidP="009F3E88">
            <w:pPr>
              <w:jc w:val="center"/>
              <w:rPr>
                <w:sz w:val="18"/>
                <w:szCs w:val="18"/>
              </w:rPr>
            </w:pPr>
          </w:p>
          <w:p w:rsidR="00E52530" w:rsidRDefault="009F3E88" w:rsidP="009F3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52530" w:rsidRPr="00237D35" w:rsidTr="00EB3F9D">
        <w:trPr>
          <w:trHeight w:val="1130"/>
        </w:trPr>
        <w:tc>
          <w:tcPr>
            <w:tcW w:w="1728" w:type="dxa"/>
          </w:tcPr>
          <w:p w:rsidR="00E52530" w:rsidRPr="00DD7C8C" w:rsidRDefault="00E52530" w:rsidP="00E52530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 xml:space="preserve">Povećanje broja </w:t>
            </w:r>
          </w:p>
          <w:p w:rsidR="00E52530" w:rsidRPr="00DD7C8C" w:rsidRDefault="00E52530" w:rsidP="00E52530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 xml:space="preserve">učenika koji su </w:t>
            </w:r>
          </w:p>
          <w:p w:rsidR="00E52530" w:rsidRPr="00DD7C8C" w:rsidRDefault="00E52530" w:rsidP="00E52530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 xml:space="preserve">uključeni u različite </w:t>
            </w:r>
          </w:p>
          <w:p w:rsidR="00E52530" w:rsidRPr="00DD7C8C" w:rsidRDefault="00E52530" w:rsidP="00E52530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 xml:space="preserve">školske projekte i </w:t>
            </w:r>
          </w:p>
          <w:p w:rsidR="00E52530" w:rsidRPr="00DD7C8C" w:rsidRDefault="00E52530" w:rsidP="00E52530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>aktivnosti</w:t>
            </w:r>
          </w:p>
        </w:tc>
        <w:tc>
          <w:tcPr>
            <w:tcW w:w="3240" w:type="dxa"/>
            <w:vAlign w:val="center"/>
          </w:tcPr>
          <w:p w:rsidR="00E52530" w:rsidRPr="00DD7C8C" w:rsidRDefault="00E52530" w:rsidP="00E52530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>Učenike se potiče na</w:t>
            </w:r>
          </w:p>
          <w:p w:rsidR="00E52530" w:rsidRPr="00DD7C8C" w:rsidRDefault="00E52530" w:rsidP="00E52530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 xml:space="preserve">izražavanje kreativnosti, </w:t>
            </w:r>
          </w:p>
          <w:p w:rsidR="00E52530" w:rsidRPr="00DD7C8C" w:rsidRDefault="00E52530" w:rsidP="00E52530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>talenata i sposobnosti.</w:t>
            </w:r>
          </w:p>
          <w:p w:rsidR="00E52530" w:rsidRPr="00DD7C8C" w:rsidRDefault="00E52530" w:rsidP="00E5253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57" w:type="dxa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42398D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E52530" w:rsidRDefault="00E52530" w:rsidP="00E52530">
            <w:pPr>
              <w:jc w:val="center"/>
              <w:rPr>
                <w:b/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</w:t>
            </w: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vanjski suradnici</w:t>
            </w:r>
          </w:p>
        </w:tc>
        <w:tc>
          <w:tcPr>
            <w:tcW w:w="709" w:type="dxa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42398D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Pr="00DD7C8C" w:rsidRDefault="0042398D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89" w:type="dxa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Pr="00DD7C8C" w:rsidRDefault="009F3E88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239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E52530" w:rsidTr="00EB3F9D">
        <w:trPr>
          <w:trHeight w:val="4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7E" w:rsidRPr="00394F7E" w:rsidRDefault="00394F7E" w:rsidP="00394F7E">
            <w:pPr>
              <w:rPr>
                <w:sz w:val="18"/>
                <w:szCs w:val="18"/>
              </w:rPr>
            </w:pPr>
            <w:r w:rsidRPr="00394F7E">
              <w:rPr>
                <w:sz w:val="18"/>
                <w:szCs w:val="18"/>
              </w:rPr>
              <w:t>Povećanje broja</w:t>
            </w:r>
          </w:p>
          <w:p w:rsidR="00394F7E" w:rsidRPr="00394F7E" w:rsidRDefault="00394F7E" w:rsidP="00394F7E">
            <w:pPr>
              <w:rPr>
                <w:sz w:val="18"/>
                <w:szCs w:val="18"/>
              </w:rPr>
            </w:pPr>
            <w:r w:rsidRPr="00394F7E">
              <w:rPr>
                <w:sz w:val="18"/>
                <w:szCs w:val="18"/>
              </w:rPr>
              <w:t>osvojenih mjesta</w:t>
            </w:r>
          </w:p>
          <w:p w:rsidR="00394F7E" w:rsidRPr="00394F7E" w:rsidRDefault="00394F7E" w:rsidP="00394F7E">
            <w:pPr>
              <w:rPr>
                <w:sz w:val="18"/>
                <w:szCs w:val="18"/>
              </w:rPr>
            </w:pPr>
            <w:r w:rsidRPr="00394F7E">
              <w:rPr>
                <w:sz w:val="18"/>
                <w:szCs w:val="18"/>
              </w:rPr>
              <w:t>(prva tri) na</w:t>
            </w:r>
          </w:p>
          <w:p w:rsidR="00394F7E" w:rsidRPr="00394F7E" w:rsidRDefault="00394F7E" w:rsidP="00394F7E">
            <w:pPr>
              <w:rPr>
                <w:sz w:val="18"/>
                <w:szCs w:val="18"/>
              </w:rPr>
            </w:pPr>
            <w:r w:rsidRPr="00394F7E">
              <w:rPr>
                <w:sz w:val="18"/>
                <w:szCs w:val="18"/>
              </w:rPr>
              <w:t>županijskim i</w:t>
            </w:r>
          </w:p>
          <w:p w:rsidR="00394F7E" w:rsidRPr="00394F7E" w:rsidRDefault="00394F7E" w:rsidP="00394F7E">
            <w:pPr>
              <w:rPr>
                <w:sz w:val="18"/>
                <w:szCs w:val="18"/>
              </w:rPr>
            </w:pPr>
            <w:r w:rsidRPr="00394F7E">
              <w:rPr>
                <w:sz w:val="18"/>
                <w:szCs w:val="18"/>
              </w:rPr>
              <w:t>državnim</w:t>
            </w:r>
          </w:p>
          <w:p w:rsidR="00E52530" w:rsidRDefault="00394F7E" w:rsidP="00E52530">
            <w:pPr>
              <w:rPr>
                <w:sz w:val="18"/>
                <w:szCs w:val="18"/>
              </w:rPr>
            </w:pPr>
            <w:r w:rsidRPr="00394F7E">
              <w:rPr>
                <w:sz w:val="18"/>
                <w:szCs w:val="18"/>
              </w:rPr>
              <w:t>natjecanjima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30" w:rsidRDefault="00E52530" w:rsidP="00E52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Poticati samostalnost i kompetencije kroz aktivnosti i testiranje kvalitete rada nastavnika s nadarenim učenicima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394F7E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0" w:rsidRDefault="00E52530" w:rsidP="00E52530">
            <w:pPr>
              <w:jc w:val="center"/>
              <w:rPr>
                <w:b/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b/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b/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394F7E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394F7E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394F7E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52530" w:rsidTr="00EB3F9D">
        <w:trPr>
          <w:trHeight w:val="4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30" w:rsidRDefault="00E52530" w:rsidP="00E52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Sportska natjecanja, stolni tenis, atletika, skok u dalj, mali nogomet, odbojka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30" w:rsidRDefault="00E52530" w:rsidP="00E52530">
            <w:pPr>
              <w:rPr>
                <w:sz w:val="18"/>
                <w:szCs w:val="18"/>
              </w:rPr>
            </w:pPr>
            <w:r w:rsidRPr="00081EA9">
              <w:rPr>
                <w:sz w:val="18"/>
                <w:szCs w:val="18"/>
              </w:rPr>
              <w:t>Razvijanje sportskog duha u pojedinačnim i grupnim sportovima, očuvati zdravlje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30" w:rsidRDefault="00E52530" w:rsidP="00E52530">
            <w:pPr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E52530" w:rsidRDefault="00E52530" w:rsidP="00E52530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30" w:rsidRDefault="00394F7E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30" w:rsidRDefault="00E52530" w:rsidP="00E52530">
            <w:pPr>
              <w:jc w:val="center"/>
              <w:rPr>
                <w:b/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4F7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4F7E">
              <w:rPr>
                <w:sz w:val="18"/>
                <w:szCs w:val="18"/>
              </w:rPr>
              <w:t>5</w:t>
            </w:r>
          </w:p>
        </w:tc>
      </w:tr>
    </w:tbl>
    <w:p w:rsidR="008C1336" w:rsidRDefault="008C1336" w:rsidP="00724F3E">
      <w:pPr>
        <w:ind w:firstLine="708"/>
        <w:rPr>
          <w:b/>
          <w:i/>
        </w:rPr>
      </w:pPr>
    </w:p>
    <w:p w:rsidR="008C1336" w:rsidRDefault="008C1336" w:rsidP="00724F3E">
      <w:pPr>
        <w:ind w:firstLine="708"/>
        <w:rPr>
          <w:b/>
          <w:i/>
        </w:rPr>
      </w:pPr>
    </w:p>
    <w:p w:rsidR="00332E47" w:rsidRDefault="00332E47" w:rsidP="00724F3E">
      <w:pPr>
        <w:ind w:firstLine="708"/>
        <w:jc w:val="both"/>
        <w:rPr>
          <w:i/>
        </w:rPr>
      </w:pPr>
    </w:p>
    <w:p w:rsidR="00332E47" w:rsidRDefault="00332E47" w:rsidP="0084149E">
      <w:pPr>
        <w:ind w:firstLine="708"/>
        <w:jc w:val="both"/>
        <w:rPr>
          <w:b/>
          <w:i/>
        </w:rPr>
      </w:pPr>
    </w:p>
    <w:p w:rsidR="00105743" w:rsidRDefault="00576885" w:rsidP="0084149E">
      <w:pPr>
        <w:ind w:firstLine="708"/>
        <w:jc w:val="both"/>
        <w:rPr>
          <w:b/>
          <w:i/>
        </w:rPr>
      </w:pPr>
      <w:r w:rsidRPr="000304A3">
        <w:rPr>
          <w:b/>
          <w:i/>
        </w:rPr>
        <w:t xml:space="preserve">Izvještaj o postignutim </w:t>
      </w:r>
      <w:r w:rsidR="0034553C" w:rsidRPr="000304A3">
        <w:rPr>
          <w:b/>
          <w:i/>
        </w:rPr>
        <w:t xml:space="preserve">ciljevima i </w:t>
      </w:r>
      <w:r w:rsidRPr="000304A3">
        <w:rPr>
          <w:b/>
          <w:i/>
        </w:rPr>
        <w:t xml:space="preserve">rezultatima </w:t>
      </w:r>
      <w:r w:rsidR="0034553C" w:rsidRPr="000304A3">
        <w:rPr>
          <w:b/>
          <w:i/>
        </w:rPr>
        <w:t xml:space="preserve">programa temeljenim na pokazateljima uspješnosti iz nadležnosti proračunskog korisnika u </w:t>
      </w:r>
      <w:r w:rsidRPr="000304A3">
        <w:rPr>
          <w:b/>
          <w:i/>
        </w:rPr>
        <w:t>prethodn</w:t>
      </w:r>
      <w:r w:rsidR="0034553C" w:rsidRPr="000304A3">
        <w:rPr>
          <w:b/>
          <w:i/>
        </w:rPr>
        <w:t>oj</w:t>
      </w:r>
      <w:r w:rsidRPr="000304A3">
        <w:rPr>
          <w:b/>
          <w:i/>
        </w:rPr>
        <w:t xml:space="preserve"> godin</w:t>
      </w:r>
      <w:r w:rsidR="0034553C" w:rsidRPr="000304A3">
        <w:rPr>
          <w:b/>
          <w:i/>
        </w:rPr>
        <w:t>i</w:t>
      </w:r>
    </w:p>
    <w:p w:rsidR="008A1FFF" w:rsidRDefault="008A1FFF" w:rsidP="0084149E">
      <w:pPr>
        <w:ind w:firstLine="708"/>
        <w:jc w:val="both"/>
        <w:rPr>
          <w:b/>
          <w:i/>
        </w:rPr>
      </w:pPr>
    </w:p>
    <w:p w:rsidR="0084149E" w:rsidRPr="0084149E" w:rsidRDefault="0084149E" w:rsidP="0084149E">
      <w:pPr>
        <w:ind w:firstLine="708"/>
        <w:jc w:val="both"/>
        <w:rPr>
          <w:b/>
          <w:i/>
        </w:rPr>
      </w:pPr>
    </w:p>
    <w:p w:rsidR="00394F7E" w:rsidRDefault="00FD3FE8" w:rsidP="009E7176">
      <w:pPr>
        <w:ind w:firstLine="708"/>
        <w:jc w:val="both"/>
        <w:rPr>
          <w:rFonts w:ascii="Times-Italic" w:eastAsia="TimesNewRoman,Italic" w:hAnsi="Times-Italic" w:cs="Times-Italic"/>
          <w:iCs/>
        </w:rPr>
      </w:pPr>
      <w:r>
        <w:rPr>
          <w:rFonts w:ascii="Times-Italic" w:eastAsia="TimesNewRoman,Italic" w:hAnsi="Times-Italic" w:cs="Times-Italic"/>
          <w:iCs/>
        </w:rPr>
        <w:t>Školsku godinu 201</w:t>
      </w:r>
      <w:r w:rsidR="009F3E88">
        <w:rPr>
          <w:rFonts w:ascii="Times-Italic" w:eastAsia="TimesNewRoman,Italic" w:hAnsi="Times-Italic" w:cs="Times-Italic"/>
          <w:iCs/>
        </w:rPr>
        <w:t>9</w:t>
      </w:r>
      <w:r>
        <w:rPr>
          <w:rFonts w:ascii="Times-Italic" w:eastAsia="TimesNewRoman,Italic" w:hAnsi="Times-Italic" w:cs="Times-Italic"/>
          <w:iCs/>
        </w:rPr>
        <w:t>./20</w:t>
      </w:r>
      <w:r w:rsidR="009F3E88">
        <w:rPr>
          <w:rFonts w:ascii="Times-Italic" w:eastAsia="TimesNewRoman,Italic" w:hAnsi="Times-Italic" w:cs="Times-Italic"/>
          <w:iCs/>
        </w:rPr>
        <w:t>20</w:t>
      </w:r>
      <w:r>
        <w:rPr>
          <w:rFonts w:ascii="Times-Italic" w:eastAsia="TimesNewRoman,Italic" w:hAnsi="Times-Italic" w:cs="Times-Italic"/>
          <w:iCs/>
        </w:rPr>
        <w:t>. uspješno je završilo 1</w:t>
      </w:r>
      <w:r w:rsidR="009F3E88">
        <w:rPr>
          <w:rFonts w:ascii="Times-Italic" w:eastAsia="TimesNewRoman,Italic" w:hAnsi="Times-Italic" w:cs="Times-Italic"/>
          <w:iCs/>
        </w:rPr>
        <w:t>5</w:t>
      </w:r>
      <w:r w:rsidR="00E35869">
        <w:rPr>
          <w:rFonts w:ascii="Times-Italic" w:eastAsia="TimesNewRoman,Italic" w:hAnsi="Times-Italic" w:cs="Times-Italic"/>
          <w:iCs/>
        </w:rPr>
        <w:t>4</w:t>
      </w:r>
      <w:r w:rsidR="00C302E6">
        <w:rPr>
          <w:rFonts w:ascii="Times-Italic" w:eastAsia="TimesNewRoman,Italic" w:hAnsi="Times-Italic" w:cs="Times-Italic"/>
          <w:iCs/>
        </w:rPr>
        <w:t xml:space="preserve"> učenika. N</w:t>
      </w:r>
      <w:r w:rsidR="00C302E6" w:rsidRPr="00C302E6">
        <w:rPr>
          <w:rFonts w:ascii="Times-Italic" w:eastAsia="TimesNewRoman,Italic" w:hAnsi="Times-Italic" w:cs="Times-Italic"/>
          <w:iCs/>
        </w:rPr>
        <w:t>ekoliko</w:t>
      </w:r>
      <w:r w:rsidR="00C302E6">
        <w:rPr>
          <w:rFonts w:ascii="Times-Italic" w:eastAsia="TimesNewRoman,Italic" w:hAnsi="Times-Italic" w:cs="Times-Italic"/>
          <w:iCs/>
        </w:rPr>
        <w:t xml:space="preserve"> </w:t>
      </w:r>
      <w:r w:rsidR="00C302E6" w:rsidRPr="00C302E6">
        <w:rPr>
          <w:rFonts w:ascii="Times-Italic" w:eastAsia="TimesNewRoman,Italic" w:hAnsi="Times-Italic" w:cs="Times-Italic"/>
          <w:iCs/>
        </w:rPr>
        <w:t>naših učenika od petog do osmog razreda sudjelovalo je na župan</w:t>
      </w:r>
      <w:r w:rsidR="00C302E6">
        <w:rPr>
          <w:rFonts w:ascii="Times-Italic" w:eastAsia="TimesNewRoman,Italic" w:hAnsi="Times-Italic" w:cs="Times-Italic"/>
          <w:iCs/>
        </w:rPr>
        <w:t xml:space="preserve">ijskim natjecanjima </w:t>
      </w:r>
      <w:r w:rsidR="00C302E6" w:rsidRPr="00C302E6">
        <w:rPr>
          <w:rFonts w:ascii="Times-Italic" w:eastAsia="TimesNewRoman,Italic" w:hAnsi="Times-Italic" w:cs="Times-Italic"/>
          <w:iCs/>
        </w:rPr>
        <w:t xml:space="preserve">na </w:t>
      </w:r>
      <w:r w:rsidR="00C302E6">
        <w:rPr>
          <w:rFonts w:ascii="Times-Italic" w:eastAsia="TimesNewRoman,Italic" w:hAnsi="Times-Italic" w:cs="Times-Italic"/>
          <w:iCs/>
        </w:rPr>
        <w:t>kojima s</w:t>
      </w:r>
      <w:r>
        <w:rPr>
          <w:rFonts w:ascii="Times-Italic" w:eastAsia="TimesNewRoman,Italic" w:hAnsi="Times-Italic" w:cs="Times-Italic"/>
          <w:iCs/>
        </w:rPr>
        <w:t>u postizali odlične rezultate (</w:t>
      </w:r>
      <w:r w:rsidR="00394F7E">
        <w:rPr>
          <w:rFonts w:ascii="Times-Italic" w:eastAsia="TimesNewRoman,Italic" w:hAnsi="Times-Italic" w:cs="Times-Italic"/>
          <w:iCs/>
        </w:rPr>
        <w:t xml:space="preserve">dva </w:t>
      </w:r>
      <w:r w:rsidR="003A5C95">
        <w:rPr>
          <w:rFonts w:ascii="Times-Italic" w:eastAsia="TimesNewRoman,Italic" w:hAnsi="Times-Italic" w:cs="Times-Italic"/>
          <w:iCs/>
        </w:rPr>
        <w:t xml:space="preserve">učenika dijele </w:t>
      </w:r>
      <w:r w:rsidR="00394F7E">
        <w:rPr>
          <w:rFonts w:ascii="Times-Italic" w:eastAsia="TimesNewRoman,Italic" w:hAnsi="Times-Italic" w:cs="Times-Italic"/>
          <w:iCs/>
        </w:rPr>
        <w:t>prv</w:t>
      </w:r>
      <w:r w:rsidR="003A5C95">
        <w:rPr>
          <w:rFonts w:ascii="Times-Italic" w:eastAsia="TimesNewRoman,Italic" w:hAnsi="Times-Italic" w:cs="Times-Italic"/>
          <w:iCs/>
        </w:rPr>
        <w:t>o</w:t>
      </w:r>
      <w:r w:rsidR="00C302E6">
        <w:rPr>
          <w:rFonts w:ascii="Times-Italic" w:eastAsia="TimesNewRoman,Italic" w:hAnsi="Times-Italic" w:cs="Times-Italic"/>
          <w:iCs/>
        </w:rPr>
        <w:t xml:space="preserve"> mjest</w:t>
      </w:r>
      <w:r w:rsidR="00394F7E">
        <w:rPr>
          <w:rFonts w:ascii="Times-Italic" w:eastAsia="TimesNewRoman,Italic" w:hAnsi="Times-Italic" w:cs="Times-Italic"/>
          <w:iCs/>
        </w:rPr>
        <w:t>a</w:t>
      </w:r>
      <w:r w:rsidR="00C302E6">
        <w:rPr>
          <w:rFonts w:ascii="Times-Italic" w:eastAsia="TimesNewRoman,Italic" w:hAnsi="Times-Italic" w:cs="Times-Italic"/>
          <w:iCs/>
        </w:rPr>
        <w:t xml:space="preserve"> na Županijskom</w:t>
      </w:r>
      <w:r w:rsidR="00DB00CD">
        <w:rPr>
          <w:rFonts w:ascii="Times-Italic" w:eastAsia="TimesNewRoman,Italic" w:hAnsi="Times-Italic" w:cs="Times-Italic"/>
          <w:iCs/>
        </w:rPr>
        <w:t xml:space="preserve"> n</w:t>
      </w:r>
      <w:r>
        <w:rPr>
          <w:rFonts w:ascii="Times-Italic" w:eastAsia="TimesNewRoman,Italic" w:hAnsi="Times-Italic" w:cs="Times-Italic"/>
          <w:iCs/>
        </w:rPr>
        <w:t xml:space="preserve">atjecanju iz </w:t>
      </w:r>
      <w:r w:rsidR="00394F7E">
        <w:rPr>
          <w:rFonts w:ascii="Times-Italic" w:eastAsia="TimesNewRoman,Italic" w:hAnsi="Times-Italic" w:cs="Times-Italic"/>
          <w:iCs/>
        </w:rPr>
        <w:t>informatike</w:t>
      </w:r>
      <w:r w:rsidR="003A5C95">
        <w:rPr>
          <w:rFonts w:ascii="Times-Italic" w:eastAsia="TimesNewRoman,Italic" w:hAnsi="Times-Italic" w:cs="Times-Italic"/>
          <w:iCs/>
        </w:rPr>
        <w:t>, a jedan učenik je osvojio</w:t>
      </w:r>
      <w:r w:rsidR="00394F7E">
        <w:rPr>
          <w:rFonts w:ascii="Times-Italic" w:eastAsia="TimesNewRoman,Italic" w:hAnsi="Times-Italic" w:cs="Times-Italic"/>
          <w:iCs/>
        </w:rPr>
        <w:t xml:space="preserve"> 2. mjesto također na Županijskom natjecanju iz informatike). Stolnotenisk</w:t>
      </w:r>
      <w:r w:rsidR="0084149E">
        <w:rPr>
          <w:rFonts w:ascii="Times-Italic" w:eastAsia="TimesNewRoman,Italic" w:hAnsi="Times-Italic" w:cs="Times-Italic"/>
          <w:iCs/>
        </w:rPr>
        <w:t>a</w:t>
      </w:r>
      <w:r w:rsidR="00394F7E">
        <w:rPr>
          <w:rFonts w:ascii="Times-Italic" w:eastAsia="TimesNewRoman,Italic" w:hAnsi="Times-Italic" w:cs="Times-Italic"/>
          <w:iCs/>
        </w:rPr>
        <w:t xml:space="preserve"> ekipa također</w:t>
      </w:r>
      <w:r w:rsidR="0084149E">
        <w:rPr>
          <w:rFonts w:ascii="Times-Italic" w:eastAsia="TimesNewRoman,Italic" w:hAnsi="Times-Italic" w:cs="Times-Italic"/>
          <w:iCs/>
        </w:rPr>
        <w:t xml:space="preserve"> je</w:t>
      </w:r>
      <w:r w:rsidR="00394F7E">
        <w:rPr>
          <w:rFonts w:ascii="Times-Italic" w:eastAsia="TimesNewRoman,Italic" w:hAnsi="Times-Italic" w:cs="Times-Italic"/>
          <w:iCs/>
        </w:rPr>
        <w:t xml:space="preserve"> uspješno sudjelovala na Županijskom natjecanju te osvojila 3. mjesto.</w:t>
      </w:r>
    </w:p>
    <w:p w:rsidR="00332E47" w:rsidRDefault="00332E47" w:rsidP="009E7176">
      <w:pPr>
        <w:ind w:firstLine="708"/>
        <w:jc w:val="both"/>
        <w:rPr>
          <w:rFonts w:ascii="Times-Italic" w:eastAsia="TimesNewRoman,Italic" w:hAnsi="Times-Italic" w:cs="Times-Italic"/>
          <w:iCs/>
        </w:rPr>
      </w:pPr>
    </w:p>
    <w:p w:rsidR="00B56A65" w:rsidRDefault="00B56A65" w:rsidP="00B56A65">
      <w:pPr>
        <w:autoSpaceDE w:val="0"/>
        <w:autoSpaceDN w:val="0"/>
        <w:adjustRightInd w:val="0"/>
        <w:ind w:firstLine="708"/>
        <w:jc w:val="both"/>
        <w:rPr>
          <w:rFonts w:ascii="Times-Italic" w:eastAsia="TimesNewRoman,Italic" w:hAnsi="Times-Italic" w:cs="Times-Italic"/>
          <w:iCs/>
        </w:rPr>
      </w:pPr>
      <w:r>
        <w:rPr>
          <w:rFonts w:ascii="Times-Italic" w:eastAsia="TimesNewRoman,Italic" w:hAnsi="Times-Italic" w:cs="Times-Italic"/>
          <w:iCs/>
        </w:rPr>
        <w:t>U Planu razvojnih programa</w:t>
      </w:r>
      <w:r w:rsidR="0003169A">
        <w:rPr>
          <w:rFonts w:ascii="Times-Italic" w:eastAsia="TimesNewRoman,Italic" w:hAnsi="Times-Italic" w:cs="Times-Italic"/>
          <w:iCs/>
        </w:rPr>
        <w:t xml:space="preserve"> </w:t>
      </w:r>
      <w:r>
        <w:rPr>
          <w:rFonts w:ascii="Times-Italic" w:eastAsia="TimesNewRoman,Italic" w:hAnsi="Times-Italic" w:cs="Times-Italic"/>
          <w:iCs/>
        </w:rPr>
        <w:t xml:space="preserve">za </w:t>
      </w:r>
      <w:r w:rsidR="00332E47">
        <w:rPr>
          <w:rFonts w:ascii="Times-Italic" w:eastAsia="TimesNewRoman,Italic" w:hAnsi="Times-Italic" w:cs="Times-Italic"/>
          <w:iCs/>
        </w:rPr>
        <w:t>2020.</w:t>
      </w:r>
      <w:r w:rsidR="00105743">
        <w:rPr>
          <w:rFonts w:ascii="Times-Italic" w:eastAsia="TimesNewRoman,Italic" w:hAnsi="Times-Italic" w:cs="Times-Italic"/>
          <w:iCs/>
        </w:rPr>
        <w:t xml:space="preserve"> godinu </w:t>
      </w:r>
      <w:r>
        <w:rPr>
          <w:rFonts w:ascii="Times-Italic" w:eastAsia="TimesNewRoman,Italic" w:hAnsi="Times-Italic" w:cs="Times-Italic"/>
          <w:iCs/>
        </w:rPr>
        <w:t xml:space="preserve">iskazali smo plan rashoda vezano uz </w:t>
      </w:r>
      <w:r w:rsidR="00917300">
        <w:rPr>
          <w:rFonts w:ascii="Times-Italic" w:eastAsia="TimesNewRoman,Italic" w:hAnsi="Times-Italic" w:cs="Times-Italic"/>
          <w:iCs/>
        </w:rPr>
        <w:t>izgradnju i proširenje parkirališta ispred Škole, što je i učinjeno investicijskim ulaganjem u vrijednosti od 112.000,00 kn; nabava mreža za golove i strunjača za nastavu tjelesne i zdravstvene kulture u vrijednosti od 15.000,00 kn, kao i sredstvima dobivenim od Ministarstva znanosti i obrazovanja za kurikularnu reformu čime je poboljšano stanje nastavnih pomagala i opreme kako u matičnoj tako i u područnoj Školi.</w:t>
      </w:r>
      <w:r w:rsidR="00B56099">
        <w:rPr>
          <w:rFonts w:ascii="Times-Italic" w:eastAsia="TimesNewRoman,Italic" w:hAnsi="Times-Italic" w:cs="Times-Italic"/>
          <w:iCs/>
        </w:rPr>
        <w:t xml:space="preserve"> Za područnu školu nabavljeni su i </w:t>
      </w:r>
      <w:proofErr w:type="spellStart"/>
      <w:r w:rsidR="00B56099">
        <w:rPr>
          <w:rFonts w:ascii="Times-Italic" w:eastAsia="TimesNewRoman,Italic" w:hAnsi="Times-Italic" w:cs="Times-Italic"/>
          <w:iCs/>
        </w:rPr>
        <w:t>laptopi</w:t>
      </w:r>
      <w:proofErr w:type="spellEnd"/>
      <w:r w:rsidR="00605DB4">
        <w:rPr>
          <w:rFonts w:ascii="Times-Italic" w:eastAsia="TimesNewRoman,Italic" w:hAnsi="Times-Italic" w:cs="Times-Italic"/>
          <w:iCs/>
        </w:rPr>
        <w:t xml:space="preserve"> u vrijednosti od 13.500,00 kn</w:t>
      </w:r>
      <w:r w:rsidR="00B56099">
        <w:rPr>
          <w:rFonts w:ascii="Times-Italic" w:eastAsia="TimesNewRoman,Italic" w:hAnsi="Times-Italic" w:cs="Times-Italic"/>
          <w:iCs/>
        </w:rPr>
        <w:t xml:space="preserve"> (sredstvima dobivenim od Ministarstva) za provođenje nastave informatike u nižim razredima.</w:t>
      </w:r>
    </w:p>
    <w:p w:rsidR="00E42256" w:rsidRDefault="00E42256" w:rsidP="00B56A65">
      <w:pPr>
        <w:autoSpaceDE w:val="0"/>
        <w:autoSpaceDN w:val="0"/>
        <w:adjustRightInd w:val="0"/>
        <w:ind w:firstLine="708"/>
        <w:jc w:val="both"/>
      </w:pPr>
    </w:p>
    <w:p w:rsidR="00691F52" w:rsidRDefault="00691F52" w:rsidP="00724F3E">
      <w:pPr>
        <w:jc w:val="both"/>
      </w:pPr>
    </w:p>
    <w:p w:rsidR="00261D55" w:rsidRPr="00366B83" w:rsidRDefault="00261D55" w:rsidP="00724F3E">
      <w:pPr>
        <w:jc w:val="both"/>
      </w:pPr>
      <w:r w:rsidRPr="00366B83">
        <w:t>Voditelj računovodstva:</w:t>
      </w:r>
      <w:r w:rsidRPr="00366B83">
        <w:tab/>
      </w:r>
      <w:r w:rsidRPr="00366B83">
        <w:tab/>
      </w:r>
      <w:r w:rsidRPr="00366B83">
        <w:tab/>
      </w:r>
      <w:r w:rsidRPr="00366B83">
        <w:tab/>
      </w:r>
      <w:r w:rsidRPr="00366B83">
        <w:tab/>
      </w:r>
      <w:r w:rsidRPr="00366B83">
        <w:tab/>
      </w:r>
      <w:r w:rsidR="00724F3E">
        <w:t>R A V N A T E LJ:</w:t>
      </w:r>
      <w:r w:rsidR="006A718B">
        <w:t xml:space="preserve">    </w:t>
      </w:r>
    </w:p>
    <w:p w:rsidR="00261D55" w:rsidRDefault="00261D55" w:rsidP="00724F3E">
      <w:pPr>
        <w:jc w:val="both"/>
        <w:rPr>
          <w:color w:val="FF0000"/>
        </w:rPr>
      </w:pPr>
    </w:p>
    <w:p w:rsidR="00261D55" w:rsidRPr="003D7136" w:rsidRDefault="006A718B" w:rsidP="00724F3E">
      <w:pPr>
        <w:jc w:val="both"/>
        <w:rPr>
          <w:color w:val="FF0000"/>
        </w:rPr>
      </w:pPr>
      <w:r w:rsidRPr="006A718B">
        <w:t xml:space="preserve">     </w:t>
      </w:r>
      <w:r w:rsidR="009113BC">
        <w:t>Neda Čavec</w:t>
      </w:r>
      <w:r w:rsidR="009113BC">
        <w:tab/>
      </w:r>
      <w:r w:rsidR="009113BC">
        <w:tab/>
      </w:r>
      <w:r w:rsidR="009113BC">
        <w:tab/>
      </w:r>
      <w:r w:rsidR="009113BC">
        <w:tab/>
      </w:r>
      <w:r w:rsidR="009113BC">
        <w:tab/>
      </w:r>
      <w:r w:rsidR="005A2D5A">
        <w:t xml:space="preserve">            </w:t>
      </w:r>
      <w:r w:rsidR="009113BC">
        <w:tab/>
        <w:t>Josip Prološčić, dipl.teolog</w:t>
      </w:r>
    </w:p>
    <w:sectPr w:rsidR="00261D55" w:rsidRPr="003D7136" w:rsidSect="00902EC0">
      <w:pgSz w:w="11906" w:h="16838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54" w:rsidRDefault="00136054">
      <w:r>
        <w:separator/>
      </w:r>
    </w:p>
  </w:endnote>
  <w:endnote w:type="continuationSeparator" w:id="0">
    <w:p w:rsidR="00136054" w:rsidRDefault="0013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54" w:rsidRDefault="00136054">
      <w:r>
        <w:separator/>
      </w:r>
    </w:p>
  </w:footnote>
  <w:footnote w:type="continuationSeparator" w:id="0">
    <w:p w:rsidR="00136054" w:rsidRDefault="0013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D3A"/>
    <w:multiLevelType w:val="hybridMultilevel"/>
    <w:tmpl w:val="59488BE6"/>
    <w:lvl w:ilvl="0" w:tplc="041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4C05FCB"/>
    <w:multiLevelType w:val="hybridMultilevel"/>
    <w:tmpl w:val="4E6E51F8"/>
    <w:lvl w:ilvl="0" w:tplc="74AC5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703BF"/>
    <w:multiLevelType w:val="hybridMultilevel"/>
    <w:tmpl w:val="2F4849A6"/>
    <w:lvl w:ilvl="0" w:tplc="11D2E350">
      <w:numFmt w:val="bullet"/>
      <w:lvlText w:val="-"/>
      <w:lvlJc w:val="left"/>
      <w:pPr>
        <w:tabs>
          <w:tab w:val="num" w:pos="1638"/>
        </w:tabs>
        <w:ind w:left="1638" w:hanging="8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209D647D"/>
    <w:multiLevelType w:val="hybridMultilevel"/>
    <w:tmpl w:val="EE9EA6E2"/>
    <w:lvl w:ilvl="0" w:tplc="BD38B5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ADC7182"/>
    <w:multiLevelType w:val="hybridMultilevel"/>
    <w:tmpl w:val="DEAAA842"/>
    <w:lvl w:ilvl="0" w:tplc="6EE4A22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4B6602F"/>
    <w:multiLevelType w:val="hybridMultilevel"/>
    <w:tmpl w:val="65305BEE"/>
    <w:lvl w:ilvl="0" w:tplc="74AC5294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369D6006"/>
    <w:multiLevelType w:val="multilevel"/>
    <w:tmpl w:val="4E6E51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13C01"/>
    <w:multiLevelType w:val="hybridMultilevel"/>
    <w:tmpl w:val="7C289404"/>
    <w:lvl w:ilvl="0" w:tplc="74AC52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F43AB4"/>
    <w:multiLevelType w:val="hybridMultilevel"/>
    <w:tmpl w:val="B958E5A4"/>
    <w:lvl w:ilvl="0" w:tplc="74AC529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D91766E"/>
    <w:multiLevelType w:val="hybridMultilevel"/>
    <w:tmpl w:val="7A406FEA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A"/>
    <w:rsid w:val="00006B6C"/>
    <w:rsid w:val="00014403"/>
    <w:rsid w:val="000203D0"/>
    <w:rsid w:val="00025871"/>
    <w:rsid w:val="000304A3"/>
    <w:rsid w:val="0003169A"/>
    <w:rsid w:val="0003600C"/>
    <w:rsid w:val="000475BC"/>
    <w:rsid w:val="000570A4"/>
    <w:rsid w:val="0007131F"/>
    <w:rsid w:val="00091083"/>
    <w:rsid w:val="0009512A"/>
    <w:rsid w:val="000A349D"/>
    <w:rsid w:val="000A452C"/>
    <w:rsid w:val="000B05C1"/>
    <w:rsid w:val="000C225B"/>
    <w:rsid w:val="000D1E17"/>
    <w:rsid w:val="000D3B4E"/>
    <w:rsid w:val="000D531F"/>
    <w:rsid w:val="000E637D"/>
    <w:rsid w:val="000E6F2D"/>
    <w:rsid w:val="000F22B1"/>
    <w:rsid w:val="000F3AF0"/>
    <w:rsid w:val="00105743"/>
    <w:rsid w:val="00106843"/>
    <w:rsid w:val="00114171"/>
    <w:rsid w:val="00117C93"/>
    <w:rsid w:val="00123A86"/>
    <w:rsid w:val="00126D4A"/>
    <w:rsid w:val="00134D28"/>
    <w:rsid w:val="00136054"/>
    <w:rsid w:val="00136202"/>
    <w:rsid w:val="00140DA3"/>
    <w:rsid w:val="00151AE8"/>
    <w:rsid w:val="00154B07"/>
    <w:rsid w:val="001565A5"/>
    <w:rsid w:val="00177222"/>
    <w:rsid w:val="001815C3"/>
    <w:rsid w:val="001925CB"/>
    <w:rsid w:val="001A32AB"/>
    <w:rsid w:val="001A4756"/>
    <w:rsid w:val="001A6443"/>
    <w:rsid w:val="001E28D9"/>
    <w:rsid w:val="001F2513"/>
    <w:rsid w:val="001F6E34"/>
    <w:rsid w:val="002000C0"/>
    <w:rsid w:val="00204420"/>
    <w:rsid w:val="002106CB"/>
    <w:rsid w:val="0021276D"/>
    <w:rsid w:val="00213E49"/>
    <w:rsid w:val="00213F2A"/>
    <w:rsid w:val="002215FB"/>
    <w:rsid w:val="002225D7"/>
    <w:rsid w:val="00237D35"/>
    <w:rsid w:val="00252DA9"/>
    <w:rsid w:val="002615AD"/>
    <w:rsid w:val="00261D55"/>
    <w:rsid w:val="00265EAD"/>
    <w:rsid w:val="00266475"/>
    <w:rsid w:val="00274EA5"/>
    <w:rsid w:val="00275835"/>
    <w:rsid w:val="00275C62"/>
    <w:rsid w:val="00275C6A"/>
    <w:rsid w:val="00293D09"/>
    <w:rsid w:val="002A267E"/>
    <w:rsid w:val="002B61D5"/>
    <w:rsid w:val="002C28BC"/>
    <w:rsid w:val="002C5C0A"/>
    <w:rsid w:val="002C7255"/>
    <w:rsid w:val="002C7995"/>
    <w:rsid w:val="002E19B8"/>
    <w:rsid w:val="002F6294"/>
    <w:rsid w:val="003023C4"/>
    <w:rsid w:val="00315B77"/>
    <w:rsid w:val="00321617"/>
    <w:rsid w:val="003270C0"/>
    <w:rsid w:val="00327AE2"/>
    <w:rsid w:val="00332E47"/>
    <w:rsid w:val="0034553C"/>
    <w:rsid w:val="0035727B"/>
    <w:rsid w:val="00363C16"/>
    <w:rsid w:val="00366575"/>
    <w:rsid w:val="00366B83"/>
    <w:rsid w:val="0037312D"/>
    <w:rsid w:val="00381C60"/>
    <w:rsid w:val="00384329"/>
    <w:rsid w:val="00386E06"/>
    <w:rsid w:val="00394F7E"/>
    <w:rsid w:val="003A5C95"/>
    <w:rsid w:val="003B2B55"/>
    <w:rsid w:val="003C440A"/>
    <w:rsid w:val="003C7847"/>
    <w:rsid w:val="003C7A9F"/>
    <w:rsid w:val="003D7136"/>
    <w:rsid w:val="003E4EEB"/>
    <w:rsid w:val="003E54B3"/>
    <w:rsid w:val="003F5925"/>
    <w:rsid w:val="003F7513"/>
    <w:rsid w:val="00400171"/>
    <w:rsid w:val="004117BF"/>
    <w:rsid w:val="0042398D"/>
    <w:rsid w:val="00423B9D"/>
    <w:rsid w:val="00425202"/>
    <w:rsid w:val="004502EA"/>
    <w:rsid w:val="0045184A"/>
    <w:rsid w:val="0045430B"/>
    <w:rsid w:val="0049065F"/>
    <w:rsid w:val="004953D5"/>
    <w:rsid w:val="00497984"/>
    <w:rsid w:val="004A1E21"/>
    <w:rsid w:val="004D55AC"/>
    <w:rsid w:val="004E121F"/>
    <w:rsid w:val="004E3790"/>
    <w:rsid w:val="004F76AC"/>
    <w:rsid w:val="00510973"/>
    <w:rsid w:val="00511223"/>
    <w:rsid w:val="00512F86"/>
    <w:rsid w:val="00514AC5"/>
    <w:rsid w:val="00520503"/>
    <w:rsid w:val="005325B9"/>
    <w:rsid w:val="0054243A"/>
    <w:rsid w:val="00544A87"/>
    <w:rsid w:val="005534B7"/>
    <w:rsid w:val="00556623"/>
    <w:rsid w:val="00556A77"/>
    <w:rsid w:val="0055705B"/>
    <w:rsid w:val="005570C1"/>
    <w:rsid w:val="00563878"/>
    <w:rsid w:val="005727CC"/>
    <w:rsid w:val="00574D3C"/>
    <w:rsid w:val="00576885"/>
    <w:rsid w:val="00580374"/>
    <w:rsid w:val="0059638A"/>
    <w:rsid w:val="005A2D5A"/>
    <w:rsid w:val="005A5823"/>
    <w:rsid w:val="005A70E2"/>
    <w:rsid w:val="005B47A3"/>
    <w:rsid w:val="005C7626"/>
    <w:rsid w:val="005D4B18"/>
    <w:rsid w:val="005F17E4"/>
    <w:rsid w:val="005F3349"/>
    <w:rsid w:val="00605DB4"/>
    <w:rsid w:val="006072C6"/>
    <w:rsid w:val="0060758A"/>
    <w:rsid w:val="00613236"/>
    <w:rsid w:val="00623882"/>
    <w:rsid w:val="00624318"/>
    <w:rsid w:val="00625FD1"/>
    <w:rsid w:val="006323C5"/>
    <w:rsid w:val="006343BB"/>
    <w:rsid w:val="006465D6"/>
    <w:rsid w:val="00655325"/>
    <w:rsid w:val="0065773A"/>
    <w:rsid w:val="006577C9"/>
    <w:rsid w:val="00661DBB"/>
    <w:rsid w:val="00666773"/>
    <w:rsid w:val="00682B67"/>
    <w:rsid w:val="00683A5E"/>
    <w:rsid w:val="00687869"/>
    <w:rsid w:val="00691F52"/>
    <w:rsid w:val="006939EB"/>
    <w:rsid w:val="00696399"/>
    <w:rsid w:val="0069644A"/>
    <w:rsid w:val="006A718B"/>
    <w:rsid w:val="006C226A"/>
    <w:rsid w:val="006E3497"/>
    <w:rsid w:val="006E69C2"/>
    <w:rsid w:val="006F20DB"/>
    <w:rsid w:val="00702ECE"/>
    <w:rsid w:val="007036ED"/>
    <w:rsid w:val="00703CB6"/>
    <w:rsid w:val="00705B4D"/>
    <w:rsid w:val="007138B9"/>
    <w:rsid w:val="00724F3E"/>
    <w:rsid w:val="00724FC8"/>
    <w:rsid w:val="00735DB4"/>
    <w:rsid w:val="00746DCA"/>
    <w:rsid w:val="00746FB1"/>
    <w:rsid w:val="007542E1"/>
    <w:rsid w:val="00754F4E"/>
    <w:rsid w:val="00757203"/>
    <w:rsid w:val="00760CDC"/>
    <w:rsid w:val="00796302"/>
    <w:rsid w:val="0079725C"/>
    <w:rsid w:val="007A0427"/>
    <w:rsid w:val="007A77FC"/>
    <w:rsid w:val="007B3044"/>
    <w:rsid w:val="007C01B9"/>
    <w:rsid w:val="007E3838"/>
    <w:rsid w:val="007E398B"/>
    <w:rsid w:val="007E69BD"/>
    <w:rsid w:val="007E742A"/>
    <w:rsid w:val="007E759E"/>
    <w:rsid w:val="007F5EE4"/>
    <w:rsid w:val="00801AA5"/>
    <w:rsid w:val="0080407B"/>
    <w:rsid w:val="00820CDA"/>
    <w:rsid w:val="00820E44"/>
    <w:rsid w:val="00825D44"/>
    <w:rsid w:val="00826536"/>
    <w:rsid w:val="008266D3"/>
    <w:rsid w:val="00835651"/>
    <w:rsid w:val="0084149E"/>
    <w:rsid w:val="00843172"/>
    <w:rsid w:val="008519B2"/>
    <w:rsid w:val="008532CE"/>
    <w:rsid w:val="0086103D"/>
    <w:rsid w:val="00862A3C"/>
    <w:rsid w:val="00865053"/>
    <w:rsid w:val="00871C5B"/>
    <w:rsid w:val="008740B2"/>
    <w:rsid w:val="00881753"/>
    <w:rsid w:val="008844B5"/>
    <w:rsid w:val="008A041F"/>
    <w:rsid w:val="008A1FFF"/>
    <w:rsid w:val="008C1336"/>
    <w:rsid w:val="008C2EEA"/>
    <w:rsid w:val="008D433C"/>
    <w:rsid w:val="00902EC0"/>
    <w:rsid w:val="00903563"/>
    <w:rsid w:val="0090748E"/>
    <w:rsid w:val="009113BC"/>
    <w:rsid w:val="00917300"/>
    <w:rsid w:val="00922F0D"/>
    <w:rsid w:val="00922F72"/>
    <w:rsid w:val="009264F9"/>
    <w:rsid w:val="0094090D"/>
    <w:rsid w:val="009465E3"/>
    <w:rsid w:val="00967C24"/>
    <w:rsid w:val="009863B0"/>
    <w:rsid w:val="009911DD"/>
    <w:rsid w:val="009A14C9"/>
    <w:rsid w:val="009A4BB3"/>
    <w:rsid w:val="009A5155"/>
    <w:rsid w:val="009A5D4C"/>
    <w:rsid w:val="009B0AEE"/>
    <w:rsid w:val="009C3BAB"/>
    <w:rsid w:val="009C45C6"/>
    <w:rsid w:val="009C597E"/>
    <w:rsid w:val="009D0313"/>
    <w:rsid w:val="009D560B"/>
    <w:rsid w:val="009E2099"/>
    <w:rsid w:val="009E7176"/>
    <w:rsid w:val="009F08C0"/>
    <w:rsid w:val="009F3E88"/>
    <w:rsid w:val="009F3FFD"/>
    <w:rsid w:val="009F48E6"/>
    <w:rsid w:val="009F7A15"/>
    <w:rsid w:val="00A00396"/>
    <w:rsid w:val="00A0701C"/>
    <w:rsid w:val="00A17B2F"/>
    <w:rsid w:val="00A243AF"/>
    <w:rsid w:val="00A365D7"/>
    <w:rsid w:val="00A37F7E"/>
    <w:rsid w:val="00A44E6E"/>
    <w:rsid w:val="00A60A14"/>
    <w:rsid w:val="00A61740"/>
    <w:rsid w:val="00A72C0C"/>
    <w:rsid w:val="00AA1902"/>
    <w:rsid w:val="00AB71A6"/>
    <w:rsid w:val="00AD10E3"/>
    <w:rsid w:val="00AD61B9"/>
    <w:rsid w:val="00AF1DA0"/>
    <w:rsid w:val="00AF52E8"/>
    <w:rsid w:val="00B02D2F"/>
    <w:rsid w:val="00B04881"/>
    <w:rsid w:val="00B2522C"/>
    <w:rsid w:val="00B2542B"/>
    <w:rsid w:val="00B4000B"/>
    <w:rsid w:val="00B41DFA"/>
    <w:rsid w:val="00B53EC8"/>
    <w:rsid w:val="00B54D21"/>
    <w:rsid w:val="00B56099"/>
    <w:rsid w:val="00B56A65"/>
    <w:rsid w:val="00B6668F"/>
    <w:rsid w:val="00B74BF0"/>
    <w:rsid w:val="00B95FD1"/>
    <w:rsid w:val="00BA1CF7"/>
    <w:rsid w:val="00BC3201"/>
    <w:rsid w:val="00BC5700"/>
    <w:rsid w:val="00BD0C28"/>
    <w:rsid w:val="00BD69DE"/>
    <w:rsid w:val="00BE6634"/>
    <w:rsid w:val="00BF5F6C"/>
    <w:rsid w:val="00C04E63"/>
    <w:rsid w:val="00C3011A"/>
    <w:rsid w:val="00C302E6"/>
    <w:rsid w:val="00C46266"/>
    <w:rsid w:val="00C5085C"/>
    <w:rsid w:val="00C60337"/>
    <w:rsid w:val="00C630F6"/>
    <w:rsid w:val="00C64836"/>
    <w:rsid w:val="00C749D0"/>
    <w:rsid w:val="00C76CA8"/>
    <w:rsid w:val="00C842B2"/>
    <w:rsid w:val="00C85111"/>
    <w:rsid w:val="00CA2BB7"/>
    <w:rsid w:val="00CA467E"/>
    <w:rsid w:val="00CB213C"/>
    <w:rsid w:val="00CC4235"/>
    <w:rsid w:val="00CC7B5F"/>
    <w:rsid w:val="00CD4E70"/>
    <w:rsid w:val="00CE083F"/>
    <w:rsid w:val="00CE5805"/>
    <w:rsid w:val="00CE787C"/>
    <w:rsid w:val="00D070D1"/>
    <w:rsid w:val="00D10D5F"/>
    <w:rsid w:val="00D125F7"/>
    <w:rsid w:val="00D14856"/>
    <w:rsid w:val="00D16CFF"/>
    <w:rsid w:val="00D17D8D"/>
    <w:rsid w:val="00D2112D"/>
    <w:rsid w:val="00D2328C"/>
    <w:rsid w:val="00D24B23"/>
    <w:rsid w:val="00D30378"/>
    <w:rsid w:val="00D37994"/>
    <w:rsid w:val="00D42B56"/>
    <w:rsid w:val="00D60C0C"/>
    <w:rsid w:val="00D73AC2"/>
    <w:rsid w:val="00D81D9C"/>
    <w:rsid w:val="00D871CC"/>
    <w:rsid w:val="00DA2890"/>
    <w:rsid w:val="00DB00CD"/>
    <w:rsid w:val="00DB757A"/>
    <w:rsid w:val="00DC7BC5"/>
    <w:rsid w:val="00DD1E00"/>
    <w:rsid w:val="00DD33B3"/>
    <w:rsid w:val="00DD7C8C"/>
    <w:rsid w:val="00DE1532"/>
    <w:rsid w:val="00DE2146"/>
    <w:rsid w:val="00DE2EBC"/>
    <w:rsid w:val="00DF1CC8"/>
    <w:rsid w:val="00DF2A45"/>
    <w:rsid w:val="00E13BE6"/>
    <w:rsid w:val="00E14AA2"/>
    <w:rsid w:val="00E23F43"/>
    <w:rsid w:val="00E2414F"/>
    <w:rsid w:val="00E3361C"/>
    <w:rsid w:val="00E35869"/>
    <w:rsid w:val="00E36F52"/>
    <w:rsid w:val="00E42256"/>
    <w:rsid w:val="00E51BA6"/>
    <w:rsid w:val="00E52530"/>
    <w:rsid w:val="00E5610C"/>
    <w:rsid w:val="00E64171"/>
    <w:rsid w:val="00E655F6"/>
    <w:rsid w:val="00E81417"/>
    <w:rsid w:val="00E860EB"/>
    <w:rsid w:val="00EA3BF3"/>
    <w:rsid w:val="00EB14AF"/>
    <w:rsid w:val="00EB3F9D"/>
    <w:rsid w:val="00EB5EC2"/>
    <w:rsid w:val="00EC34A1"/>
    <w:rsid w:val="00EC6701"/>
    <w:rsid w:val="00ED0450"/>
    <w:rsid w:val="00ED10D6"/>
    <w:rsid w:val="00ED5A1B"/>
    <w:rsid w:val="00ED7A03"/>
    <w:rsid w:val="00EE266E"/>
    <w:rsid w:val="00EE2A95"/>
    <w:rsid w:val="00EE4F2C"/>
    <w:rsid w:val="00EF4A39"/>
    <w:rsid w:val="00F016E4"/>
    <w:rsid w:val="00F174AD"/>
    <w:rsid w:val="00F25285"/>
    <w:rsid w:val="00F343E1"/>
    <w:rsid w:val="00F429B2"/>
    <w:rsid w:val="00F576B9"/>
    <w:rsid w:val="00F664B0"/>
    <w:rsid w:val="00F71D52"/>
    <w:rsid w:val="00F92D72"/>
    <w:rsid w:val="00F953AB"/>
    <w:rsid w:val="00F97FE5"/>
    <w:rsid w:val="00FA5021"/>
    <w:rsid w:val="00FA538D"/>
    <w:rsid w:val="00FD3FE8"/>
    <w:rsid w:val="00FF6712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724F3E"/>
    <w:rPr>
      <w:sz w:val="20"/>
      <w:szCs w:val="20"/>
    </w:rPr>
  </w:style>
  <w:style w:type="character" w:styleId="Referencafusnote">
    <w:name w:val="footnote reference"/>
    <w:semiHidden/>
    <w:rsid w:val="00724F3E"/>
    <w:rPr>
      <w:vertAlign w:val="superscript"/>
    </w:rPr>
  </w:style>
  <w:style w:type="table" w:styleId="Profesionalnatablica">
    <w:name w:val="Table Professional"/>
    <w:basedOn w:val="Obinatablica"/>
    <w:rsid w:val="00AF1D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etkatablice">
    <w:name w:val="Table Grid"/>
    <w:basedOn w:val="Obinatablica"/>
    <w:rsid w:val="000A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843172"/>
    <w:rPr>
      <w:b/>
      <w:bCs/>
    </w:rPr>
  </w:style>
  <w:style w:type="paragraph" w:styleId="Tekstbalonia">
    <w:name w:val="Balloon Text"/>
    <w:basedOn w:val="Normal"/>
    <w:link w:val="TekstbaloniaChar"/>
    <w:rsid w:val="009264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9264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D531F"/>
    <w:pPr>
      <w:ind w:left="720"/>
      <w:contextualSpacing/>
    </w:pPr>
  </w:style>
  <w:style w:type="character" w:customStyle="1" w:styleId="normaltextrun">
    <w:name w:val="normaltextrun"/>
    <w:basedOn w:val="Zadanifontodlomka"/>
    <w:rsid w:val="0059638A"/>
  </w:style>
  <w:style w:type="character" w:customStyle="1" w:styleId="eop">
    <w:name w:val="eop"/>
    <w:basedOn w:val="Zadanifontodlomka"/>
    <w:rsid w:val="0059638A"/>
  </w:style>
  <w:style w:type="paragraph" w:customStyle="1" w:styleId="paragraph">
    <w:name w:val="paragraph"/>
    <w:basedOn w:val="Normal"/>
    <w:rsid w:val="005963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724F3E"/>
    <w:rPr>
      <w:sz w:val="20"/>
      <w:szCs w:val="20"/>
    </w:rPr>
  </w:style>
  <w:style w:type="character" w:styleId="Referencafusnote">
    <w:name w:val="footnote reference"/>
    <w:semiHidden/>
    <w:rsid w:val="00724F3E"/>
    <w:rPr>
      <w:vertAlign w:val="superscript"/>
    </w:rPr>
  </w:style>
  <w:style w:type="table" w:styleId="Profesionalnatablica">
    <w:name w:val="Table Professional"/>
    <w:basedOn w:val="Obinatablica"/>
    <w:rsid w:val="00AF1D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etkatablice">
    <w:name w:val="Table Grid"/>
    <w:basedOn w:val="Obinatablica"/>
    <w:rsid w:val="000A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843172"/>
    <w:rPr>
      <w:b/>
      <w:bCs/>
    </w:rPr>
  </w:style>
  <w:style w:type="paragraph" w:styleId="Tekstbalonia">
    <w:name w:val="Balloon Text"/>
    <w:basedOn w:val="Normal"/>
    <w:link w:val="TekstbaloniaChar"/>
    <w:rsid w:val="009264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9264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D531F"/>
    <w:pPr>
      <w:ind w:left="720"/>
      <w:contextualSpacing/>
    </w:pPr>
  </w:style>
  <w:style w:type="character" w:customStyle="1" w:styleId="normaltextrun">
    <w:name w:val="normaltextrun"/>
    <w:basedOn w:val="Zadanifontodlomka"/>
    <w:rsid w:val="0059638A"/>
  </w:style>
  <w:style w:type="character" w:customStyle="1" w:styleId="eop">
    <w:name w:val="eop"/>
    <w:basedOn w:val="Zadanifontodlomka"/>
    <w:rsid w:val="0059638A"/>
  </w:style>
  <w:style w:type="paragraph" w:customStyle="1" w:styleId="paragraph">
    <w:name w:val="paragraph"/>
    <w:basedOn w:val="Normal"/>
    <w:rsid w:val="005963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F900D-EA9A-46D4-8C5D-3AE897E9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„DOBRIŠA CESARIĆ“</vt:lpstr>
    </vt:vector>
  </TitlesOfParts>
  <Company/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„DOBRIŠA CESARIĆ“</dc:title>
  <dc:creator>Ivo</dc:creator>
  <cp:lastModifiedBy>Neda</cp:lastModifiedBy>
  <cp:revision>32</cp:revision>
  <cp:lastPrinted>2020-12-21T06:06:00Z</cp:lastPrinted>
  <dcterms:created xsi:type="dcterms:W3CDTF">2020-10-13T10:53:00Z</dcterms:created>
  <dcterms:modified xsi:type="dcterms:W3CDTF">2020-12-21T06:07:00Z</dcterms:modified>
</cp:coreProperties>
</file>